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PROCEDIMIENTOS DEL SISTEMA DE GESTIÓN DE SEGURIDAD DE LA INFORMACIÓN</w:t>
      </w:r>
    </w:p>
    <w:p>
      <w:r>
        <w:t>NovaRetail SpA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Actividad práctica</w:t>
            </w:r>
          </w:p>
        </w:tc>
        <w:tc>
          <w:tcPr>
            <w:tcW w:type="dxa" w:w="4561"/>
          </w:tcPr>
          <w:p>
            <w:r>
              <w:t>Gobernanza e Implementación de un SGSI</w:t>
            </w:r>
          </w:p>
        </w:tc>
      </w:tr>
      <w:tr>
        <w:tc>
          <w:tcPr>
            <w:tcW w:type="dxa" w:w="4561"/>
          </w:tcPr>
          <w:p>
            <w:r>
              <w:t>Asignatura</w:t>
            </w:r>
          </w:p>
        </w:tc>
        <w:tc>
          <w:tcPr>
            <w:tcW w:type="dxa" w:w="4561"/>
          </w:tcPr>
          <w:p>
            <w:r>
              <w:t>Gestión de la Ciberseguridad</w:t>
            </w:r>
          </w:p>
        </w:tc>
      </w:tr>
      <w:tr>
        <w:tc>
          <w:tcPr>
            <w:tcW w:type="dxa" w:w="4561"/>
          </w:tcPr>
          <w:p>
            <w:r>
              <w:t>Integrantes del grupo</w:t>
            </w:r>
          </w:p>
        </w:tc>
        <w:tc>
          <w:tcPr>
            <w:tcW w:type="dxa" w:w="4561"/>
          </w:tcPr>
          <w:p>
            <w:r>
              <w:t>Sergio Cubelli, Savka Carvajal, Joaquín Zambra, Alejandro Tapia, Filippo Moreno</w:t>
            </w:r>
          </w:p>
        </w:tc>
      </w:tr>
      <w:tr>
        <w:tc>
          <w:tcPr>
            <w:tcW w:type="dxa" w:w="4561"/>
          </w:tcPr>
          <w:p>
            <w:r>
              <w:t>Código del conjunto</w:t>
            </w:r>
          </w:p>
        </w:tc>
        <w:tc>
          <w:tcPr>
            <w:tcW w:type="dxa" w:w="4561"/>
          </w:tcPr>
          <w:p>
            <w:r>
              <w:t>PROC-SGSI-01 a PROC-SGSI-18</w:t>
            </w:r>
          </w:p>
        </w:tc>
      </w:tr>
      <w:tr>
        <w:tc>
          <w:tcPr>
            <w:tcW w:type="dxa" w:w="4561"/>
          </w:tcPr>
          <w:p>
            <w:r>
              <w:t>Fecha de emisión</w:t>
            </w:r>
          </w:p>
        </w:tc>
        <w:tc>
          <w:tcPr>
            <w:tcW w:type="dxa" w:w="4561"/>
          </w:tcPr>
          <w:p>
            <w:r>
              <w:t>17-06-2026</w:t>
            </w:r>
          </w:p>
        </w:tc>
      </w:tr>
      <w:tr>
        <w:tc>
          <w:tcPr>
            <w:tcW w:type="dxa" w:w="4561"/>
          </w:tcPr>
          <w:p>
            <w:r>
              <w:t>Versión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t>Estado</w:t>
            </w:r>
          </w:p>
        </w:tc>
        <w:tc>
          <w:tcPr>
            <w:tcW w:type="dxa" w:w="4561"/>
          </w:tcPr>
          <w:p>
            <w:r>
              <w:t>Aprobado</w:t>
            </w:r>
          </w:p>
        </w:tc>
      </w:tr>
      <w:tr>
        <w:tc>
          <w:tcPr>
            <w:tcW w:type="dxa" w:w="4561"/>
          </w:tcPr>
          <w:p>
            <w:r>
              <w:t>Clasificación</w:t>
            </w:r>
          </w:p>
        </w:tc>
        <w:tc>
          <w:tcPr>
            <w:tcW w:type="dxa" w:w="4561"/>
          </w:tcPr>
          <w:p>
            <w:r>
              <w:t>Interno</w:t>
            </w:r>
          </w:p>
        </w:tc>
      </w:tr>
    </w:tbl>
    <w:p>
      <w:r>
        <w:rPr>
          <w:b/>
          <w:sz w:val="28"/>
        </w:rPr>
        <w:t>PROC-SGSI-15 — Procedimiento de desarrollo seguro (SDLC)</w:t>
      </w:r>
    </w:p>
    <w:p>
      <w:r>
        <w:t>Procedimiento operativo del SGSI de NovaRetail SpA.</w:t>
      </w:r>
    </w:p>
    <w:p>
      <w:r>
        <w:rPr>
          <w:b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Código</w:t>
            </w:r>
          </w:p>
        </w:tc>
        <w:tc>
          <w:tcPr>
            <w:tcW w:type="dxa" w:w="4561"/>
          </w:tcPr>
          <w:p>
            <w:r>
              <w:t>PROC-SGSI-15</w:t>
            </w:r>
          </w:p>
        </w:tc>
      </w:tr>
      <w:tr>
        <w:tc>
          <w:tcPr>
            <w:tcW w:type="dxa" w:w="4561"/>
          </w:tcPr>
          <w:p>
            <w:r>
              <w:t>Versión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t>Fecha de emisión</w:t>
            </w:r>
          </w:p>
        </w:tc>
        <w:tc>
          <w:tcPr>
            <w:tcW w:type="dxa" w:w="4561"/>
          </w:tcPr>
          <w:p>
            <w:r>
              <w:t>17-06-2026</w:t>
            </w:r>
          </w:p>
        </w:tc>
      </w:tr>
      <w:tr>
        <w:tc>
          <w:tcPr>
            <w:tcW w:type="dxa" w:w="4561"/>
          </w:tcPr>
          <w:p>
            <w:r>
              <w:t>Clasificación</w:t>
            </w:r>
          </w:p>
        </w:tc>
        <w:tc>
          <w:tcPr>
            <w:tcW w:type="dxa" w:w="4561"/>
          </w:tcPr>
          <w:p>
            <w:r>
              <w:t>Interno</w:t>
            </w:r>
          </w:p>
        </w:tc>
      </w:tr>
      <w:tr>
        <w:tc>
          <w:tcPr>
            <w:tcW w:type="dxa" w:w="4561"/>
          </w:tcPr>
          <w:p>
            <w:r>
              <w:t>Elaborado por</w:t>
            </w:r>
          </w:p>
        </w:tc>
        <w:tc>
          <w:tcPr>
            <w:tcW w:type="dxa" w:w="4561"/>
          </w:tcPr>
          <w:p>
            <w:r>
              <w:t>Equipo SGSI NovaRetail</w:t>
            </w:r>
          </w:p>
        </w:tc>
      </w:tr>
      <w:tr>
        <w:tc>
          <w:tcPr>
            <w:tcW w:type="dxa" w:w="4561"/>
          </w:tcPr>
          <w:p>
            <w:r>
              <w:t>Revisado por</w:t>
            </w:r>
          </w:p>
        </w:tc>
        <w:tc>
          <w:tcPr>
            <w:tcW w:type="dxa" w:w="4561"/>
          </w:tcPr>
          <w:p>
            <w:r>
              <w:t>CISO</w:t>
            </w:r>
          </w:p>
        </w:tc>
      </w:tr>
      <w:tr>
        <w:tc>
          <w:tcPr>
            <w:tcW w:type="dxa" w:w="4561"/>
          </w:tcPr>
          <w:p>
            <w:r>
              <w:t>Aprobado por</w:t>
            </w:r>
          </w:p>
        </w:tc>
        <w:tc>
          <w:tcPr>
            <w:tcW w:type="dxa" w:w="4561"/>
          </w:tcPr>
          <w:p>
            <w:r>
              <w:t>Gerencia General</w:t>
            </w:r>
          </w:p>
        </w:tc>
      </w:tr>
      <w:tr>
        <w:tc>
          <w:tcPr>
            <w:tcW w:type="dxa" w:w="4561"/>
          </w:tcPr>
          <w:p>
            <w:r>
              <w:t>Próxima revisión</w:t>
            </w:r>
          </w:p>
        </w:tc>
        <w:tc>
          <w:tcPr>
            <w:tcW w:type="dxa" w:w="4561"/>
          </w:tcPr>
          <w:p>
            <w:r>
              <w:t>17-06-2027</w:t>
            </w:r>
          </w:p>
        </w:tc>
      </w:tr>
      <w:tr>
        <w:tc>
          <w:tcPr>
            <w:tcW w:type="dxa" w:w="4561"/>
          </w:tcPr>
          <w:p>
            <w:r>
              <w:t>Políticas base</w:t>
            </w:r>
          </w:p>
        </w:tc>
        <w:tc>
          <w:tcPr>
            <w:tcW w:type="dxa" w:w="4561"/>
          </w:tcPr>
          <w:p>
            <w:r>
              <w:t>POL-SGSI-15 · POL-SGSI-09</w:t>
            </w:r>
          </w:p>
        </w:tc>
      </w:tr>
    </w:tbl>
    <w:p>
      <w:r>
        <w:rPr>
          <w:b/>
          <w:sz w:val="26"/>
        </w:rPr>
        <w:t>2. Objetivo</w:t>
      </w:r>
    </w:p>
    <w:p>
      <w:r>
        <w:t>Integrar controles de seguridad en todo el ciclo de vida de desarrollo del portal e-commerce y del software propio de NovaRetail SpA, desde los requisitos hasta el despliegue, reduciendo la introducción de vulnerabilidades en el código (control de la brecha G-13).</w:t>
      </w:r>
    </w:p>
    <w:p>
      <w:r>
        <w:rPr>
          <w:b/>
          <w:sz w:val="26"/>
        </w:rPr>
        <w:t>3. Alcance</w:t>
      </w:r>
    </w:p>
    <w:p>
      <w:r>
        <w:t>Aplica a todo desarrollo propio o tercerizado de NovaRetail: portal e-commerce, integraciones, APIs y scripts de automatización. No aplica a software comercial de terceros (cubierto por POL-SGSI-15).</w:t>
      </w:r>
    </w:p>
    <w:p>
      <w:r>
        <w:rPr>
          <w:b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Jefe de Desarrollo</w:t>
            </w:r>
          </w:p>
        </w:tc>
        <w:tc>
          <w:tcPr>
            <w:tcW w:type="dxa" w:w="4561"/>
          </w:tcPr>
          <w:p>
            <w:r>
              <w:t>Responsable del proceso; integra los hitos de seguridad en cada release.</w:t>
            </w:r>
          </w:p>
        </w:tc>
      </w:tr>
      <w:tr>
        <w:tc>
          <w:tcPr>
            <w:tcW w:type="dxa" w:w="4561"/>
          </w:tcPr>
          <w:p>
            <w:r>
              <w:t>CISO</w:t>
            </w:r>
          </w:p>
        </w:tc>
        <w:tc>
          <w:tcPr>
            <w:tcW w:type="dxa" w:w="4561"/>
          </w:tcPr>
          <w:p>
            <w:r>
              <w:t>Aprueba los criterios de seguridad y los resultados de las pruebas (Accountable).</w:t>
            </w:r>
          </w:p>
        </w:tc>
      </w:tr>
      <w:tr>
        <w:tc>
          <w:tcPr>
            <w:tcW w:type="dxa" w:w="4561"/>
          </w:tcPr>
          <w:p>
            <w:r>
              <w:t>Desarrolladores</w:t>
            </w:r>
          </w:p>
        </w:tc>
        <w:tc>
          <w:tcPr>
            <w:tcW w:type="dxa" w:w="4561"/>
          </w:tcPr>
          <w:p>
            <w:r>
              <w:t>Aplican codificación segura y corrigen los hallazgos.</w:t>
            </w:r>
          </w:p>
        </w:tc>
      </w:tr>
      <w:tr>
        <w:tc>
          <w:tcPr>
            <w:tcW w:type="dxa" w:w="4561"/>
          </w:tcPr>
          <w:p>
            <w:r>
              <w:t>QA / Infraestructura TI</w:t>
            </w:r>
          </w:p>
        </w:tc>
        <w:tc>
          <w:tcPr>
            <w:tcW w:type="dxa" w:w="4561"/>
          </w:tcPr>
          <w:p>
            <w:r>
              <w:t>Mantienen la separación de ambientes y las pruebas automatizadas.</w:t>
            </w:r>
          </w:p>
        </w:tc>
      </w:tr>
    </w:tbl>
    <w:p>
      <w:r>
        <w:rPr>
          <w:b/>
          <w:sz w:val="26"/>
        </w:rPr>
        <w:t>5. Descripción del procedimiento</w:t>
      </w:r>
    </w:p>
    <w:p>
      <w:r>
        <w:rPr>
          <w:b/>
        </w:rPr>
        <w:t>Paso 1 — Requisitos de seguridad (8.26)</w:t>
      </w:r>
    </w:p>
    <w:p>
      <w:r>
        <w:t>• Cada proyecto define requisitos de seguridad desde el diseño con base en OWASP ASVS.</w:t>
      </w:r>
    </w:p>
    <w:p>
      <w:r>
        <w:t>• Se documentan en la plantilla de requisitos y se trazan por proyecto.</w:t>
      </w:r>
    </w:p>
    <w:p>
      <w:r>
        <w:rPr>
          <w:b/>
        </w:rPr>
        <w:t>Paso 2 — Diseño y arquitectura segura (8.27)</w:t>
      </w:r>
    </w:p>
    <w:p>
      <w:r>
        <w:t>• Modelado de amenazas de las funciones críticas (pago, autenticación, datos de clientes).</w:t>
      </w:r>
    </w:p>
    <w:p>
      <w:r>
        <w:t>• Aplicación de defensa en profundidad y mínimo privilegio.</w:t>
      </w:r>
    </w:p>
    <w:p>
      <w:r>
        <w:rPr>
          <w:b/>
        </w:rPr>
        <w:t>Paso 3 — Codificación segura (8.28)</w:t>
      </w:r>
    </w:p>
    <w:p>
      <w:r>
        <w:t>• Guía de codificación segura (prevención de SQLi, XSS, fallos lógicos).</w:t>
      </w:r>
    </w:p>
    <w:p>
      <w:r>
        <w:t>• Prohibido incrustar secretos en el código; se usan variables de entorno o bóveda.</w:t>
      </w:r>
    </w:p>
    <w:p>
      <w:r>
        <w:rPr>
          <w:b/>
        </w:rPr>
        <w:t>Paso 4 — Pruebas de seguridad (8.29)</w:t>
      </w:r>
    </w:p>
    <w:p>
      <w:r>
        <w:t>• SAST y DAST automatizados en el pipeline de CI.</w:t>
      </w:r>
    </w:p>
    <w:p>
      <w:r>
        <w:t>• Análisis de dependencias (SCA) por CVEs conocidos.</w:t>
      </w:r>
    </w:p>
    <w:p>
      <w:r>
        <w:t>• Pentest anual y previo a cada release mayor.</w:t>
      </w:r>
    </w:p>
    <w:p>
      <w:r>
        <w:rPr>
          <w:b/>
        </w:rPr>
        <w:t>Paso 5 — Revisión, aprobación y ambientes (8.31)</w:t>
      </w:r>
    </w:p>
    <w:p>
      <w:r>
        <w:t>• Revisión de seguridad y aprobación del CISO antes de pasar a producción.</w:t>
      </w:r>
    </w:p>
    <w:p>
      <w:r>
        <w:t>• Separación estricta DEV/TEST/PROD; datos de prueba sintéticos o enmascarados (8.33).</w:t>
      </w:r>
    </w:p>
    <w:p>
      <w:r>
        <w:t>• Promoción de cambios bajo gestión de cambios (8.32).</w:t>
      </w:r>
    </w:p>
    <w:p>
      <w:r>
        <w:rPr>
          <w:b/>
          <w:sz w:val="26"/>
        </w:rPr>
        <w:t>6. Registros y evidencias</w:t>
      </w:r>
    </w:p>
    <w:p>
      <w:r>
        <w:t>• Reportes SAST/DAST y SCA por release</w:t>
      </w:r>
    </w:p>
    <w:p>
      <w:r>
        <w:t>• Informe de pentest</w:t>
      </w:r>
    </w:p>
    <w:p>
      <w:r>
        <w:t>• Checklist de release seguro firmado</w:t>
      </w:r>
    </w:p>
    <w:p>
      <w:r>
        <w:t>• Registros de revisión y aprobación del CISO</w:t>
      </w:r>
    </w:p>
    <w:p>
      <w:r>
        <w:rPr>
          <w:b/>
          <w:sz w:val="26"/>
        </w:rPr>
        <w:t>7. Documentos relacionados</w:t>
      </w:r>
    </w:p>
    <w:p>
      <w:r>
        <w:rPr>
          <w:b/>
        </w:rPr>
        <w:t xml:space="preserve">Política(s) base vinculada(s): </w:t>
      </w:r>
      <w:hyperlink r:id="rId12">
        <w:r>
          <w:rPr>
            <w:color w:val="0563C1"/>
            <w:u w:val="single"/>
          </w:rPr>
          <w:t xml:space="preserve">POL-SGSI-15 — Línea base de software</w:t>
        </w:r>
      </w:hyperlink>
      <w:r>
        <w:t xml:space="preserve"> · </w:t>
      </w:r>
      <w:hyperlink r:id="rId13">
        <w:r>
          <w:rPr>
            <w:color w:val="0563C1"/>
            <w:u w:val="single"/>
          </w:rPr>
          <w:t xml:space="preserve">POL-SGSI-09 — Gestión de vulnerabilidades</w:t>
        </w:r>
      </w:hyperlink>
    </w:p>
    <w:p>
      <w:r>
        <w:rPr>
          <w:b/>
        </w:rPr>
        <w:t xml:space="preserve">Procedimientos relacionados: </w:t>
      </w:r>
      <w:hyperlink r:id="rId14">
        <w:r>
          <w:rPr>
            <w:color w:val="0563C1"/>
            <w:u w:val="single"/>
          </w:rPr>
          <w:t xml:space="preserve">PROC-SGSI-11 — Escaneo de vulnerabilidades</w:t>
        </w:r>
      </w:hyperlink>
      <w:r>
        <w:t xml:space="preserve"> · </w:t>
      </w:r>
      <w:hyperlink r:id="rId15">
        <w:r>
          <w:rPr>
            <w:color w:val="0563C1"/>
            <w:u w:val="single"/>
          </w:rPr>
          <w:t xml:space="preserve">PROC-SGSI-04 — Línea base de software (Ansible)</w:t>
        </w:r>
      </w:hyperlink>
    </w:p>
    <w:p>
      <w:r>
        <w:t>SoA – controles 8.4, 8.25, 8.26, 8.27, 8.28, 8.29, 8.31 (ISO/IEC 27001:2022). Matriz de riesgos: R-17.</w:t>
      </w:r>
    </w:p>
    <w:p>
      <w:r>
        <w:rPr>
          <w:b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Versión</w:t>
            </w:r>
          </w:p>
        </w:tc>
        <w:tc>
          <w:tcPr>
            <w:tcW w:type="dxa" w:w="2280"/>
          </w:tcPr>
          <w:p>
            <w:r>
              <w:t>Fecha</w:t>
            </w:r>
          </w:p>
        </w:tc>
        <w:tc>
          <w:tcPr>
            <w:tcW w:type="dxa" w:w="2280"/>
          </w:tcPr>
          <w:p>
            <w:r>
              <w:t>Descripción del cambio</w:t>
            </w:r>
          </w:p>
        </w:tc>
        <w:tc>
          <w:tcPr>
            <w:tcW w:type="dxa" w:w="2280"/>
          </w:tcPr>
          <w:p>
            <w:r>
              <w:t>Responsable</w:t>
            </w:r>
          </w:p>
        </w:tc>
      </w:tr>
      <w:tr>
        <w:tc>
          <w:tcPr>
            <w:tcW w:type="dxa" w:w="2280"/>
          </w:tcPr>
          <w:p>
            <w:r>
              <w:t>1.0</w:t>
            </w:r>
          </w:p>
        </w:tc>
        <w:tc>
          <w:tcPr>
            <w:tcW w:type="dxa" w:w="2280"/>
          </w:tcPr>
          <w:p>
            <w:r>
              <w:t>17-06-2026</w:t>
            </w:r>
          </w:p>
        </w:tc>
        <w:tc>
          <w:tcPr>
            <w:tcW w:type="dxa" w:w="2280"/>
          </w:tcPr>
          <w:p>
            <w:r>
              <w:t>Emisión inicial del documento</w:t>
            </w:r>
          </w:p>
        </w:tc>
        <w:tc>
          <w:tcPr>
            <w:tcW w:type="dxa" w:w="2280"/>
          </w:tcPr>
          <w:p>
            <w: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yperlink" Target="../01-politicas/POL-SGSI-15%20-%20Pol%C3%ADtica%20de%20l%C3%ADnea%20base%20de%20software.docx" TargetMode="External"/><Relationship Id="rId13" Type="http://schemas.openxmlformats.org/officeDocument/2006/relationships/hyperlink" Target="../01-politicas/POL-SGSI-09%20-%20Pol%C3%ADtica%20de%20gesti%C3%B3n%20de%20vulnerabilidades.docx" TargetMode="External"/><Relationship Id="rId14" Type="http://schemas.openxmlformats.org/officeDocument/2006/relationships/hyperlink" Target="../02-procedimientos/PROC-SGSI-11%20-%20Procedimiento%20de%20escaneo%20de%20vulnerabilidades.docx" TargetMode="External"/><Relationship Id="rId15" Type="http://schemas.openxmlformats.org/officeDocument/2006/relationships/hyperlink" Target="../02-procedimientos/PROC-SGSI-04%20-%20Procedimiento%20de%20l%C3%ADnea%20base%20de%20software%20%28Ansible%29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795E36-7954-4825-A9B6-5A8E852295F1}"/>
</file>

<file path=customXml/itemProps3.xml><?xml version="1.0" encoding="utf-8"?>
<ds:datastoreItem xmlns:ds="http://schemas.openxmlformats.org/officeDocument/2006/customXml" ds:itemID="{479CEA7A-2D1A-4DF4-9FB5-AD6A9179CAA4}"/>
</file>

<file path=customXml/itemProps4.xml><?xml version="1.0" encoding="utf-8"?>
<ds:datastoreItem xmlns:ds="http://schemas.openxmlformats.org/officeDocument/2006/customXml" ds:itemID="{CACF32D8-FFB2-4839-993B-1FF1BBE18C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