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PROCEDIMIENTOS DEL SISTEMA DE GESTIÓN DE SEGURIDAD DE LA INFORMACIÓN</w:t>
      </w:r>
    </w:p>
    <w:p>
      <w:r>
        <w:t>NovaRetail SpA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Actividad práctica</w:t>
            </w:r>
          </w:p>
        </w:tc>
        <w:tc>
          <w:tcPr>
            <w:tcW w:type="dxa" w:w="4561"/>
          </w:tcPr>
          <w:p>
            <w:r>
              <w:t>Gobernanza e Implementación de un SGSI</w:t>
            </w:r>
          </w:p>
        </w:tc>
      </w:tr>
      <w:tr>
        <w:tc>
          <w:tcPr>
            <w:tcW w:type="dxa" w:w="4561"/>
          </w:tcPr>
          <w:p>
            <w:r>
              <w:t>Asignatura</w:t>
            </w:r>
          </w:p>
        </w:tc>
        <w:tc>
          <w:tcPr>
            <w:tcW w:type="dxa" w:w="4561"/>
          </w:tcPr>
          <w:p>
            <w:r>
              <w:t>Gestión de la Ciberseguridad</w:t>
            </w:r>
          </w:p>
        </w:tc>
      </w:tr>
      <w:tr>
        <w:tc>
          <w:tcPr>
            <w:tcW w:type="dxa" w:w="4561"/>
          </w:tcPr>
          <w:p>
            <w:r>
              <w:t>Integrantes del grupo</w:t>
            </w:r>
          </w:p>
        </w:tc>
        <w:tc>
          <w:tcPr>
            <w:tcW w:type="dxa" w:w="4561"/>
          </w:tcPr>
          <w:p>
            <w:r>
              <w:t>Sergio Cubelli, Savka Carvajal, Joaquín Zambra, Alejandro Tapia, Filippo Moreno</w:t>
            </w:r>
          </w:p>
        </w:tc>
      </w:tr>
      <w:tr>
        <w:tc>
          <w:tcPr>
            <w:tcW w:type="dxa" w:w="4561"/>
          </w:tcPr>
          <w:p>
            <w:r>
              <w:t>Código del conjunto</w:t>
            </w:r>
          </w:p>
        </w:tc>
        <w:tc>
          <w:tcPr>
            <w:tcW w:type="dxa" w:w="4561"/>
          </w:tcPr>
          <w:p>
            <w:r>
              <w:t>PROC-SGSI-01 a PROC-SGSI-18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Estado</w:t>
            </w:r>
          </w:p>
        </w:tc>
        <w:tc>
          <w:tcPr>
            <w:tcW w:type="dxa" w:w="4561"/>
          </w:tcPr>
          <w:p>
            <w:r>
              <w:t>Aprobado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</w:tbl>
    <w:p>
      <w:r>
        <w:rPr>
          <w:b/>
          <w:sz w:val="28"/>
        </w:rPr>
        <w:t>PROC-SGSI-16 — Procedimiento de respuesta ante malware</w:t>
      </w:r>
    </w:p>
    <w:p>
      <w:r>
        <w:t>Procedimiento operativo del SGSI de NovaRetail SpA.</w:t>
      </w:r>
    </w:p>
    <w:p>
      <w:r>
        <w:rPr>
          <w:b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Código</w:t>
            </w:r>
          </w:p>
        </w:tc>
        <w:tc>
          <w:tcPr>
            <w:tcW w:type="dxa" w:w="4561"/>
          </w:tcPr>
          <w:p>
            <w:r>
              <w:t>PROC-SGSI-16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  <w:tr>
        <w:tc>
          <w:tcPr>
            <w:tcW w:type="dxa" w:w="4561"/>
          </w:tcPr>
          <w:p>
            <w:r>
              <w:t>Elaborado por</w:t>
            </w:r>
          </w:p>
        </w:tc>
        <w:tc>
          <w:tcPr>
            <w:tcW w:type="dxa" w:w="4561"/>
          </w:tcPr>
          <w:p>
            <w:r>
              <w:t>Equipo SGSI NovaRetail</w:t>
            </w:r>
          </w:p>
        </w:tc>
      </w:tr>
      <w:tr>
        <w:tc>
          <w:tcPr>
            <w:tcW w:type="dxa" w:w="4561"/>
          </w:tcPr>
          <w:p>
            <w:r>
              <w:t>Revisado por</w:t>
            </w:r>
          </w:p>
        </w:tc>
        <w:tc>
          <w:tcPr>
            <w:tcW w:type="dxa" w:w="4561"/>
          </w:tcPr>
          <w:p>
            <w:r>
              <w:t>CISO</w:t>
            </w:r>
          </w:p>
        </w:tc>
      </w:tr>
      <w:tr>
        <w:tc>
          <w:tcPr>
            <w:tcW w:type="dxa" w:w="4561"/>
          </w:tcPr>
          <w:p>
            <w:r>
              <w:t>Aprobado por</w:t>
            </w:r>
          </w:p>
        </w:tc>
        <w:tc>
          <w:tcPr>
            <w:tcW w:type="dxa" w:w="4561"/>
          </w:tcPr>
          <w:p>
            <w:r>
              <w:t>Gerencia General</w:t>
            </w:r>
          </w:p>
        </w:tc>
      </w:tr>
      <w:tr>
        <w:tc>
          <w:tcPr>
            <w:tcW w:type="dxa" w:w="4561"/>
          </w:tcPr>
          <w:p>
            <w:r>
              <w:t>Próxima revisión</w:t>
            </w:r>
          </w:p>
        </w:tc>
        <w:tc>
          <w:tcPr>
            <w:tcW w:type="dxa" w:w="4561"/>
          </w:tcPr>
          <w:p>
            <w:r>
              <w:t>17-06-2027</w:t>
            </w:r>
          </w:p>
        </w:tc>
      </w:tr>
      <w:tr>
        <w:tc>
          <w:tcPr>
            <w:tcW w:type="dxa" w:w="4561"/>
          </w:tcPr>
          <w:p>
            <w:r>
              <w:t>Políticas base</w:t>
            </w:r>
          </w:p>
        </w:tc>
        <w:tc>
          <w:tcPr>
            <w:tcW w:type="dxa" w:w="4561"/>
          </w:tcPr>
          <w:p>
            <w:r>
              <w:t>POL-SGSI-04</w:t>
            </w:r>
          </w:p>
        </w:tc>
      </w:tr>
    </w:tbl>
    <w:p>
      <w:r>
        <w:rPr>
          <w:b/>
          <w:sz w:val="26"/>
        </w:rPr>
        <w:t>2. Objetivo</w:t>
      </w:r>
    </w:p>
    <w:p>
      <w:r>
        <w:t>Definir los pasos para prevenir, detectar, contener, erradicar y recuperar ante infecciones de malware y ransomware en los sistemas de NovaRetail SpA, minimizando el impacto operacional.</w:t>
      </w:r>
    </w:p>
    <w:p>
      <w:r>
        <w:rPr>
          <w:b/>
          <w:sz w:val="26"/>
        </w:rPr>
        <w:t>3. Alcance</w:t>
      </w:r>
    </w:p>
    <w:p>
      <w:r>
        <w:t>Aplica a endpoints, servidores (datacenter y bodega regional) y correo corporativo gestionados por Gerencia TI.</w:t>
      </w:r>
    </w:p>
    <w:p>
      <w:r>
        <w:rPr>
          <w:b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Analista de Ciberseguridad</w:t>
            </w:r>
          </w:p>
        </w:tc>
        <w:tc>
          <w:tcPr>
            <w:tcW w:type="dxa" w:w="4561"/>
          </w:tcPr>
          <w:p>
            <w:r>
              <w:t>Responsable de la detección y respuesta ante malware.</w:t>
            </w:r>
          </w:p>
        </w:tc>
      </w:tr>
      <w:tr>
        <w:tc>
          <w:tcPr>
            <w:tcW w:type="dxa" w:w="4561"/>
          </w:tcPr>
          <w:p>
            <w:r>
              <w:t>CISO</w:t>
            </w:r>
          </w:p>
        </w:tc>
        <w:tc>
          <w:tcPr>
            <w:tcW w:type="dxa" w:w="4561"/>
          </w:tcPr>
          <w:p>
            <w:r>
              <w:t>Coordina la respuesta y decide la escalada a incidente (Accountable).</w:t>
            </w:r>
          </w:p>
        </w:tc>
      </w:tr>
      <w:tr>
        <w:tc>
          <w:tcPr>
            <w:tcW w:type="dxa" w:w="4561"/>
          </w:tcPr>
          <w:p>
            <w:r>
              <w:t>Gerencia TI</w:t>
            </w:r>
          </w:p>
        </w:tc>
        <w:tc>
          <w:tcPr>
            <w:tcW w:type="dxa" w:w="4561"/>
          </w:tcPr>
          <w:p>
            <w:r>
              <w:t>Mantiene el EDR y apoya la recuperación.</w:t>
            </w:r>
          </w:p>
        </w:tc>
      </w:tr>
      <w:tr>
        <w:tc>
          <w:tcPr>
            <w:tcW w:type="dxa" w:w="4561"/>
          </w:tcPr>
          <w:p>
            <w:r>
              <w:t>Usuarios</w:t>
            </w:r>
          </w:p>
        </w:tc>
        <w:tc>
          <w:tcPr>
            <w:tcW w:type="dxa" w:w="4561"/>
          </w:tcPr>
          <w:p>
            <w:r>
              <w:t>Reportan de inmediato cualquier comportamiento sospechoso.</w:t>
            </w:r>
          </w:p>
        </w:tc>
      </w:tr>
    </w:tbl>
    <w:p>
      <w:r>
        <w:rPr>
          <w:b/>
          <w:sz w:val="26"/>
        </w:rPr>
        <w:t>5. Descripción del procedimiento</w:t>
      </w:r>
    </w:p>
    <w:p>
      <w:r>
        <w:rPr>
          <w:b/>
        </w:rPr>
        <w:t>Paso 1 — Prevención</w:t>
      </w:r>
    </w:p>
    <w:p>
      <w:r>
        <w:t>• EDR corporativo en el 100% de los endpoints, con actualización automática.</w:t>
      </w:r>
    </w:p>
    <w:p>
      <w:r>
        <w:t>• Control de dispositivos USB y filtrado de correo y web.</w:t>
      </w:r>
    </w:p>
    <w:p>
      <w:r>
        <w:rPr>
          <w:b/>
        </w:rPr>
        <w:t>Paso 2 — Detección</w:t>
      </w:r>
    </w:p>
    <w:p>
      <w:r>
        <w:t>• Las alertas del EDR/antimalware se revisan según PROC-SGSI-10.</w:t>
      </w:r>
    </w:p>
    <w:p>
      <w:r>
        <w:t>• Triage para confirmar la infección y su alcance.</w:t>
      </w:r>
    </w:p>
    <w:p>
      <w:r>
        <w:rPr>
          <w:b/>
        </w:rPr>
        <w:t>Paso 3 — Contención</w:t>
      </w:r>
    </w:p>
    <w:p>
      <w:r>
        <w:t>• Aislar de la red el equipo afectado y bloquear cuentas comprometidas.</w:t>
      </w:r>
    </w:p>
    <w:p>
      <w:r>
        <w:t>• Preservar evidencia antes de intervenir (hash de muestras).</w:t>
      </w:r>
    </w:p>
    <w:p>
      <w:r>
        <w:rPr>
          <w:b/>
        </w:rPr>
        <w:t>Paso 4 — Erradicación</w:t>
      </w:r>
    </w:p>
    <w:p>
      <w:r>
        <w:t>• Eliminar el malware o reimagen del equipo desde una línea base limpia (PROC-SGSI-04).</w:t>
      </w:r>
    </w:p>
    <w:p>
      <w:r>
        <w:t>• Cerrar el vector de entrada (parche, regla, credencial).</w:t>
      </w:r>
    </w:p>
    <w:p>
      <w:r>
        <w:rPr>
          <w:b/>
        </w:rPr>
        <w:t>Paso 5 — Recuperación</w:t>
      </w:r>
    </w:p>
    <w:p>
      <w:r>
        <w:t>• Restaurar datos desde respaldo verificado y limpio (PROC-SGSI-02).</w:t>
      </w:r>
    </w:p>
    <w:p>
      <w:r>
        <w:t>• Monitorear el equipo restaurado antes de reincorporarlo.</w:t>
      </w:r>
    </w:p>
    <w:p>
      <w:r>
        <w:rPr>
          <w:b/>
        </w:rPr>
        <w:t>Paso 6 — Escalamiento</w:t>
      </w:r>
    </w:p>
    <w:p>
      <w:r>
        <w:t>• Si es ransomware o afecta datos/servicios esenciales, activar PROC-SGSI-05 (incidentes y reporte ANCI).</w:t>
      </w:r>
    </w:p>
    <w:p>
      <w:r>
        <w:rPr>
          <w:b/>
          <w:sz w:val="26"/>
        </w:rPr>
        <w:t>6. Registros y evidencias</w:t>
      </w:r>
    </w:p>
    <w:p>
      <w:r>
        <w:t>• Alertas y reportes del EDR</w:t>
      </w:r>
    </w:p>
    <w:p>
      <w:r>
        <w:t>• Tickets ITSM de respuesta</w:t>
      </w:r>
    </w:p>
    <w:p>
      <w:r>
        <w:t>• Informe post-evento</w:t>
      </w:r>
    </w:p>
    <w:p>
      <w:r>
        <w:t>• Registro de muestras y cadena de custodia</w:t>
      </w:r>
    </w:p>
    <w:p>
      <w:r>
        <w:rPr>
          <w:b/>
          <w:sz w:val="26"/>
        </w:rPr>
        <w:t>7. Documentos relacionados</w:t>
      </w:r>
    </w:p>
    <w:p>
      <w:r>
        <w:rPr>
          <w:b/>
        </w:rPr>
        <w:t xml:space="preserve">Política(s) base vinculada(s): </w:t>
      </w:r>
      <w:hyperlink r:id="rId12">
        <w:r>
          <w:rPr>
            <w:color w:val="0563C1"/>
            <w:u w:val="single"/>
          </w:rPr>
          <w:t xml:space="preserve">POL-SGSI-04 — Protección contra malware</w:t>
        </w:r>
      </w:hyperlink>
    </w:p>
    <w:p>
      <w:r>
        <w:rPr>
          <w:b/>
        </w:rPr>
        <w:t xml:space="preserve">Procedimientos relacionados: </w:t>
      </w:r>
      <w:hyperlink r:id="rId13">
        <w:r>
          <w:rPr>
            <w:color w:val="0563C1"/>
            <w:u w:val="single"/>
          </w:rPr>
          <w:t xml:space="preserve">PROC-SGSI-05 — Incidentes con plazos ANCI</w:t>
        </w:r>
      </w:hyperlink>
      <w:r>
        <w:t xml:space="preserve"> · </w:t>
      </w:r>
      <w:hyperlink r:id="rId14">
        <w:r>
          <w:rPr>
            <w:color w:val="0563C1"/>
            <w:u w:val="single"/>
          </w:rPr>
          <w:t xml:space="preserve">PROC-SGSI-02 — Backup de base de datos</w:t>
        </w:r>
      </w:hyperlink>
      <w:r>
        <w:t xml:space="preserve"> · </w:t>
      </w:r>
      <w:hyperlink r:id="rId15">
        <w:r>
          <w:rPr>
            <w:color w:val="0563C1"/>
            <w:u w:val="single"/>
          </w:rPr>
          <w:t xml:space="preserve">PROC-SGSI-10 — Revisión y escalada de alertas</w:t>
        </w:r>
      </w:hyperlink>
    </w:p>
    <w:p>
      <w:r>
        <w:t>SoA – controles 8.7 (ISO/IEC 27001:2022). Matriz de riesgos: R-02, R-04, R-06, R-11.</w:t>
      </w:r>
    </w:p>
    <w:p>
      <w:r>
        <w:rPr>
          <w:b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Versión</w:t>
            </w:r>
          </w:p>
        </w:tc>
        <w:tc>
          <w:tcPr>
            <w:tcW w:type="dxa" w:w="2280"/>
          </w:tcPr>
          <w:p>
            <w:r>
              <w:t>Fecha</w:t>
            </w:r>
          </w:p>
        </w:tc>
        <w:tc>
          <w:tcPr>
            <w:tcW w:type="dxa" w:w="2280"/>
          </w:tcPr>
          <w:p>
            <w:r>
              <w:t>Descripción del cambio</w:t>
            </w:r>
          </w:p>
        </w:tc>
        <w:tc>
          <w:tcPr>
            <w:tcW w:type="dxa" w:w="2280"/>
          </w:tcPr>
          <w:p>
            <w:r>
              <w:t>Responsable</w:t>
            </w:r>
          </w:p>
        </w:tc>
      </w:tr>
      <w:tr>
        <w:tc>
          <w:tcPr>
            <w:tcW w:type="dxa" w:w="2280"/>
          </w:tcPr>
          <w:p>
            <w:r>
              <w:t>1.0</w:t>
            </w:r>
          </w:p>
        </w:tc>
        <w:tc>
          <w:tcPr>
            <w:tcW w:type="dxa" w:w="2280"/>
          </w:tcPr>
          <w:p>
            <w:r>
              <w:t>17-06-2026</w:t>
            </w:r>
          </w:p>
        </w:tc>
        <w:tc>
          <w:tcPr>
            <w:tcW w:type="dxa" w:w="2280"/>
          </w:tcPr>
          <w:p>
            <w:r>
              <w:t>Emisión inicial del documento</w:t>
            </w:r>
          </w:p>
        </w:tc>
        <w:tc>
          <w:tcPr>
            <w:tcW w:type="dxa" w:w="2280"/>
          </w:tcPr>
          <w:p>
            <w: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yperlink" Target="../01-politicas/POL-SGSI-04%20-%20Pol%C3%ADtica%20de%20protecci%C3%B3n%20contra%20malware.docx" TargetMode="External"/><Relationship Id="rId13" Type="http://schemas.openxmlformats.org/officeDocument/2006/relationships/hyperlink" Target="../02-procedimientos/PROC-SGSI-05%20-%20Procedimiento%20de%20incidentes%20con%20plazos%20ANCI.docx" TargetMode="External"/><Relationship Id="rId14" Type="http://schemas.openxmlformats.org/officeDocument/2006/relationships/hyperlink" Target="../02-procedimientos/PROC-SGSI-02%20-%20Procedimiento%20de%20backup%20de%20base%20de%20datos.docx" TargetMode="External"/><Relationship Id="rId15" Type="http://schemas.openxmlformats.org/officeDocument/2006/relationships/hyperlink" Target="../02-procedimientos/PROC-SGSI-10%20-%20Procedimiento%20de%20revisi%C3%B3n%20y%20escalada%20de%20alerta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795E36-7954-4825-A9B6-5A8E852295F1}"/>
</file>

<file path=customXml/itemProps3.xml><?xml version="1.0" encoding="utf-8"?>
<ds:datastoreItem xmlns:ds="http://schemas.openxmlformats.org/officeDocument/2006/customXml" ds:itemID="{479CEA7A-2D1A-4DF4-9FB5-AD6A9179CAA4}"/>
</file>

<file path=customXml/itemProps4.xml><?xml version="1.0" encoding="utf-8"?>
<ds:datastoreItem xmlns:ds="http://schemas.openxmlformats.org/officeDocument/2006/customXml" ds:itemID="{CACF32D8-FFB2-4839-993B-1FF1BBE18C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