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PROCEDIMIENTOS DEL SISTEMA DE GESTIÓN DE SEGURIDAD DE LA INFORMACIÓN</w:t>
      </w:r>
    </w:p>
    <w:p>
      <w:r>
        <w:t>NovaRetail SpA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Actividad práctica</w:t>
            </w:r>
          </w:p>
        </w:tc>
        <w:tc>
          <w:tcPr>
            <w:tcW w:type="dxa" w:w="4561"/>
          </w:tcPr>
          <w:p>
            <w:r>
              <w:t>Gobernanza e Implementación de un SGSI</w:t>
            </w:r>
          </w:p>
        </w:tc>
      </w:tr>
      <w:tr>
        <w:tc>
          <w:tcPr>
            <w:tcW w:type="dxa" w:w="4561"/>
          </w:tcPr>
          <w:p>
            <w:r>
              <w:t>Asignatura</w:t>
            </w:r>
          </w:p>
        </w:tc>
        <w:tc>
          <w:tcPr>
            <w:tcW w:type="dxa" w:w="4561"/>
          </w:tcPr>
          <w:p>
            <w:r>
              <w:t>Gestión de la Ciberseguridad</w:t>
            </w:r>
          </w:p>
        </w:tc>
      </w:tr>
      <w:tr>
        <w:tc>
          <w:tcPr>
            <w:tcW w:type="dxa" w:w="4561"/>
          </w:tcPr>
          <w:p>
            <w:r>
              <w:t>Integrantes del grupo</w:t>
            </w:r>
          </w:p>
        </w:tc>
        <w:tc>
          <w:tcPr>
            <w:tcW w:type="dxa" w:w="4561"/>
          </w:tcPr>
          <w:p>
            <w:r>
              <w:t>Sergio Cubelli, Savka Carvajal, Joaquín Zambra, Alejandro Tapia, Filippo Moreno</w:t>
            </w:r>
          </w:p>
        </w:tc>
      </w:tr>
      <w:tr>
        <w:tc>
          <w:tcPr>
            <w:tcW w:type="dxa" w:w="4561"/>
          </w:tcPr>
          <w:p>
            <w:r>
              <w:t>Código del conjunto</w:t>
            </w:r>
          </w:p>
        </w:tc>
        <w:tc>
          <w:tcPr>
            <w:tcW w:type="dxa" w:w="4561"/>
          </w:tcPr>
          <w:p>
            <w:r>
              <w:t>PROC-SGSI-01 a PROC-SGSI-18</w:t>
            </w:r>
          </w:p>
        </w:tc>
      </w:tr>
      <w:tr>
        <w:tc>
          <w:tcPr>
            <w:tcW w:type="dxa" w:w="4561"/>
          </w:tcPr>
          <w:p>
            <w:r>
              <w:t>Fecha de emisión</w:t>
            </w:r>
          </w:p>
        </w:tc>
        <w:tc>
          <w:tcPr>
            <w:tcW w:type="dxa" w:w="4561"/>
          </w:tcPr>
          <w:p>
            <w:r>
              <w:t>17-06-2026</w:t>
            </w:r>
          </w:p>
        </w:tc>
      </w:tr>
      <w:tr>
        <w:tc>
          <w:tcPr>
            <w:tcW w:type="dxa" w:w="4561"/>
          </w:tcPr>
          <w:p>
            <w:r>
              <w:t>Versión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t>Estado</w:t>
            </w:r>
          </w:p>
        </w:tc>
        <w:tc>
          <w:tcPr>
            <w:tcW w:type="dxa" w:w="4561"/>
          </w:tcPr>
          <w:p>
            <w:r>
              <w:t>Aprobado</w:t>
            </w:r>
          </w:p>
        </w:tc>
      </w:tr>
      <w:tr>
        <w:tc>
          <w:tcPr>
            <w:tcW w:type="dxa" w:w="4561"/>
          </w:tcPr>
          <w:p>
            <w:r>
              <w:t>Clasificación</w:t>
            </w:r>
          </w:p>
        </w:tc>
        <w:tc>
          <w:tcPr>
            <w:tcW w:type="dxa" w:w="4561"/>
          </w:tcPr>
          <w:p>
            <w:r>
              <w:t>Interno</w:t>
            </w:r>
          </w:p>
        </w:tc>
      </w:tr>
    </w:tbl>
    <w:p>
      <w:r>
        <w:rPr>
          <w:b/>
          <w:sz w:val="28"/>
        </w:rPr>
        <w:t>PROC-SGSI-17 — Procedimiento de uso seguro de dispositivos</w:t>
      </w:r>
    </w:p>
    <w:p>
      <w:r>
        <w:t>Procedimiento operativo del SGSI de NovaRetail SpA.</w:t>
      </w:r>
    </w:p>
    <w:p>
      <w:r>
        <w:rPr>
          <w:b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Código</w:t>
            </w:r>
          </w:p>
        </w:tc>
        <w:tc>
          <w:tcPr>
            <w:tcW w:type="dxa" w:w="4561"/>
          </w:tcPr>
          <w:p>
            <w:r>
              <w:t>PROC-SGSI-17</w:t>
            </w:r>
          </w:p>
        </w:tc>
      </w:tr>
      <w:tr>
        <w:tc>
          <w:tcPr>
            <w:tcW w:type="dxa" w:w="4561"/>
          </w:tcPr>
          <w:p>
            <w:r>
              <w:t>Versión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t>Fecha de emisión</w:t>
            </w:r>
          </w:p>
        </w:tc>
        <w:tc>
          <w:tcPr>
            <w:tcW w:type="dxa" w:w="4561"/>
          </w:tcPr>
          <w:p>
            <w:r>
              <w:t>17-06-2026</w:t>
            </w:r>
          </w:p>
        </w:tc>
      </w:tr>
      <w:tr>
        <w:tc>
          <w:tcPr>
            <w:tcW w:type="dxa" w:w="4561"/>
          </w:tcPr>
          <w:p>
            <w:r>
              <w:t>Clasificación</w:t>
            </w:r>
          </w:p>
        </w:tc>
        <w:tc>
          <w:tcPr>
            <w:tcW w:type="dxa" w:w="4561"/>
          </w:tcPr>
          <w:p>
            <w:r>
              <w:t>Interno</w:t>
            </w:r>
          </w:p>
        </w:tc>
      </w:tr>
      <w:tr>
        <w:tc>
          <w:tcPr>
            <w:tcW w:type="dxa" w:w="4561"/>
          </w:tcPr>
          <w:p>
            <w:r>
              <w:t>Elaborado por</w:t>
            </w:r>
          </w:p>
        </w:tc>
        <w:tc>
          <w:tcPr>
            <w:tcW w:type="dxa" w:w="4561"/>
          </w:tcPr>
          <w:p>
            <w:r>
              <w:t>Equipo SGSI NovaRetail</w:t>
            </w:r>
          </w:p>
        </w:tc>
      </w:tr>
      <w:tr>
        <w:tc>
          <w:tcPr>
            <w:tcW w:type="dxa" w:w="4561"/>
          </w:tcPr>
          <w:p>
            <w:r>
              <w:t>Revisado por</w:t>
            </w:r>
          </w:p>
        </w:tc>
        <w:tc>
          <w:tcPr>
            <w:tcW w:type="dxa" w:w="4561"/>
          </w:tcPr>
          <w:p>
            <w:r>
              <w:t>CISO</w:t>
            </w:r>
          </w:p>
        </w:tc>
      </w:tr>
      <w:tr>
        <w:tc>
          <w:tcPr>
            <w:tcW w:type="dxa" w:w="4561"/>
          </w:tcPr>
          <w:p>
            <w:r>
              <w:t>Aprobado por</w:t>
            </w:r>
          </w:p>
        </w:tc>
        <w:tc>
          <w:tcPr>
            <w:tcW w:type="dxa" w:w="4561"/>
          </w:tcPr>
          <w:p>
            <w:r>
              <w:t>Gerencia General</w:t>
            </w:r>
          </w:p>
        </w:tc>
      </w:tr>
      <w:tr>
        <w:tc>
          <w:tcPr>
            <w:tcW w:type="dxa" w:w="4561"/>
          </w:tcPr>
          <w:p>
            <w:r>
              <w:t>Próxima revisión</w:t>
            </w:r>
          </w:p>
        </w:tc>
        <w:tc>
          <w:tcPr>
            <w:tcW w:type="dxa" w:w="4561"/>
          </w:tcPr>
          <w:p>
            <w:r>
              <w:t>17-06-2027</w:t>
            </w:r>
          </w:p>
        </w:tc>
      </w:tr>
      <w:tr>
        <w:tc>
          <w:tcPr>
            <w:tcW w:type="dxa" w:w="4561"/>
          </w:tcPr>
          <w:p>
            <w:r>
              <w:t>Políticas base</w:t>
            </w:r>
          </w:p>
        </w:tc>
        <w:tc>
          <w:tcPr>
            <w:tcW w:type="dxa" w:w="4561"/>
          </w:tcPr>
          <w:p>
            <w:r>
              <w:t>POL-SGSI-06</w:t>
            </w:r>
          </w:p>
        </w:tc>
      </w:tr>
    </w:tbl>
    <w:p>
      <w:r>
        <w:rPr>
          <w:b/>
          <w:sz w:val="26"/>
        </w:rPr>
        <w:t>2. Objetivo</w:t>
      </w:r>
    </w:p>
    <w:p>
      <w:r>
        <w:t>Definir los pasos operativos para la entrega, configuración, uso, reporte de pérdida y devolución segura de los dispositivos y estaciones de trabajo de NovaRetail SpA.</w:t>
      </w:r>
    </w:p>
    <w:p>
      <w:r>
        <w:rPr>
          <w:b/>
          <w:sz w:val="26"/>
        </w:rPr>
        <w:t>3. Alcance</w:t>
      </w:r>
    </w:p>
    <w:p>
      <w:r>
        <w:t>Aplica a laptops corporativos, estaciones de oficina y de bodega, y dispositivos móviles corporativos administrados por Gerencia TI. No aplica a dispositivos personales (BYOD).</w:t>
      </w:r>
    </w:p>
    <w:p>
      <w:r>
        <w:rPr>
          <w:b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Gerencia TI</w:t>
            </w:r>
          </w:p>
        </w:tc>
        <w:tc>
          <w:tcPr>
            <w:tcW w:type="dxa" w:w="4561"/>
          </w:tcPr>
          <w:p>
            <w:r>
              <w:t>Responsable de la configuración segura y del inventario de dispositivos.</w:t>
            </w:r>
          </w:p>
        </w:tc>
      </w:tr>
      <w:tr>
        <w:tc>
          <w:tcPr>
            <w:tcW w:type="dxa" w:w="4561"/>
          </w:tcPr>
          <w:p>
            <w:r>
              <w:t>CISO</w:t>
            </w:r>
          </w:p>
        </w:tc>
        <w:tc>
          <w:tcPr>
            <w:tcW w:type="dxa" w:w="4561"/>
          </w:tcPr>
          <w:p>
            <w:r>
              <w:t>Define el estándar y aprueba excepciones (Accountable).</w:t>
            </w:r>
          </w:p>
        </w:tc>
      </w:tr>
      <w:tr>
        <w:tc>
          <w:tcPr>
            <w:tcW w:type="dxa" w:w="4561"/>
          </w:tcPr>
          <w:p>
            <w:r>
              <w:t>Jefatura directa</w:t>
            </w:r>
          </w:p>
        </w:tc>
        <w:tc>
          <w:tcPr>
            <w:tcW w:type="dxa" w:w="4561"/>
          </w:tcPr>
          <w:p>
            <w:r>
              <w:t>Aprueba la asignación de equipos a su personal.</w:t>
            </w:r>
          </w:p>
        </w:tc>
      </w:tr>
      <w:tr>
        <w:tc>
          <w:tcPr>
            <w:tcW w:type="dxa" w:w="4561"/>
          </w:tcPr>
          <w:p>
            <w:r>
              <w:t>Usuario</w:t>
            </w:r>
          </w:p>
        </w:tc>
        <w:tc>
          <w:tcPr>
            <w:tcW w:type="dxa" w:w="4561"/>
          </w:tcPr>
          <w:p>
            <w:r>
              <w:t>Usa el equipo de forma segura y reporta pérdida o robo.</w:t>
            </w:r>
          </w:p>
        </w:tc>
      </w:tr>
    </w:tbl>
    <w:p>
      <w:r>
        <w:rPr>
          <w:b/>
          <w:sz w:val="26"/>
        </w:rPr>
        <w:t>5. Descripción del procedimiento</w:t>
      </w:r>
    </w:p>
    <w:p>
      <w:r>
        <w:rPr>
          <w:b/>
        </w:rPr>
        <w:t>Paso 1 — Entrega del equipo</w:t>
      </w:r>
    </w:p>
    <w:p>
      <w:r>
        <w:t>• Cifrado de disco habilitado, EDR instalado y MFA configurado.</w:t>
      </w:r>
    </w:p>
    <w:p>
      <w:r>
        <w:t>• Aplicación de la línea base (PROC-SGSI-04) antes de la entrega.</w:t>
      </w:r>
    </w:p>
    <w:p>
      <w:r>
        <w:t>• Acta de entrega firmada por el usuario.</w:t>
      </w:r>
    </w:p>
    <w:p>
      <w:r>
        <w:rPr>
          <w:b/>
        </w:rPr>
        <w:t>Paso 2 — Uso seguro</w:t>
      </w:r>
    </w:p>
    <w:p>
      <w:r>
        <w:t>• Bloqueo automático de pantalla y política de escritorio limpio.</w:t>
      </w:r>
    </w:p>
    <w:p>
      <w:r>
        <w:t>• Solo software autorizado (POL-SGSI-15); sin privilegios de administrador local.</w:t>
      </w:r>
    </w:p>
    <w:p>
      <w:r>
        <w:rPr>
          <w:b/>
        </w:rPr>
        <w:t>Paso 3 — Teletrabajo</w:t>
      </w:r>
    </w:p>
    <w:p>
      <w:r>
        <w:t>• Acceso remoto solo por VPN corporativa con MFA.</w:t>
      </w:r>
    </w:p>
    <w:p>
      <w:r>
        <w:rPr>
          <w:b/>
        </w:rPr>
        <w:t>Paso 4 — Pérdida o robo</w:t>
      </w:r>
    </w:p>
    <w:p>
      <w:r>
        <w:t>• Reporte del usuario en menos de 1 hora.</w:t>
      </w:r>
    </w:p>
    <w:p>
      <w:r>
        <w:t>• Bloqueo/borrado remoto y revocación de accesos (PROC-SGSI-06).</w:t>
      </w:r>
    </w:p>
    <w:p>
      <w:r>
        <w:rPr>
          <w:b/>
        </w:rPr>
        <w:t>Paso 5 — Devolución</w:t>
      </w:r>
    </w:p>
    <w:p>
      <w:r>
        <w:t>• Borrado seguro del equipo (PROC-SGSI-12) antes de su reasignación o baja.</w:t>
      </w:r>
    </w:p>
    <w:p>
      <w:r>
        <w:t>• Acta de devolución y actualización del inventario.</w:t>
      </w:r>
    </w:p>
    <w:p>
      <w:r>
        <w:rPr>
          <w:b/>
          <w:sz w:val="26"/>
        </w:rPr>
        <w:t>6. Registros y evidencias</w:t>
      </w:r>
    </w:p>
    <w:p>
      <w:r>
        <w:t>• Acta de entrega y de devolución de equipos</w:t>
      </w:r>
    </w:p>
    <w:p>
      <w:r>
        <w:t>• Inventario de dispositivos</w:t>
      </w:r>
    </w:p>
    <w:p>
      <w:r>
        <w:t>• Reportes de pérdida o robo</w:t>
      </w:r>
    </w:p>
    <w:p>
      <w:r>
        <w:t>• Evidencia de borrado seguro</w:t>
      </w:r>
    </w:p>
    <w:p>
      <w:r>
        <w:rPr>
          <w:b/>
          <w:sz w:val="26"/>
        </w:rPr>
        <w:t>7. Documentos relacionados</w:t>
      </w:r>
    </w:p>
    <w:p>
      <w:r>
        <w:rPr>
          <w:b/>
        </w:rPr>
        <w:t xml:space="preserve">Política(s) base vinculada(s): </w:t>
      </w:r>
      <w:hyperlink r:id="rId12">
        <w:r>
          <w:rPr>
            <w:color w:val="0563C1"/>
            <w:u w:val="single"/>
          </w:rPr>
          <w:t xml:space="preserve">POL-SGSI-06 — Uso seguro de dispositivos y estaciones de trabajo</w:t>
        </w:r>
      </w:hyperlink>
    </w:p>
    <w:p>
      <w:r>
        <w:rPr>
          <w:b/>
        </w:rPr>
        <w:t xml:space="preserve">Procedimientos relacionados: </w:t>
      </w:r>
      <w:hyperlink r:id="rId13">
        <w:r>
          <w:rPr>
            <w:color w:val="0563C1"/>
            <w:u w:val="single"/>
          </w:rPr>
          <w:t xml:space="preserve">PROC-SGSI-04 — Línea base de software (Ansible)</w:t>
        </w:r>
      </w:hyperlink>
      <w:r>
        <w:t xml:space="preserve"> · </w:t>
      </w:r>
      <w:hyperlink r:id="rId14">
        <w:r>
          <w:rPr>
            <w:color w:val="0563C1"/>
            <w:u w:val="single"/>
          </w:rPr>
          <w:t xml:space="preserve">PROC-SGSI-06 — Alta, modificación y baja de accesos</w:t>
        </w:r>
      </w:hyperlink>
      <w:r>
        <w:t xml:space="preserve"> · </w:t>
      </w:r>
      <w:hyperlink r:id="rId15">
        <w:r>
          <w:rPr>
            <w:color w:val="0563C1"/>
            <w:u w:val="single"/>
          </w:rPr>
          <w:t xml:space="preserve">PROC-SGSI-12 — Retención y eliminación segura</w:t>
        </w:r>
      </w:hyperlink>
    </w:p>
    <w:p>
      <w:r>
        <w:t>SoA – controles 8.1, 7.9, 6.7 (ISO/IEC 27001:2022). Matriz de riesgos: R-06.</w:t>
      </w:r>
    </w:p>
    <w:p>
      <w:r>
        <w:rPr>
          <w:b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Versión</w:t>
            </w:r>
          </w:p>
        </w:tc>
        <w:tc>
          <w:tcPr>
            <w:tcW w:type="dxa" w:w="2280"/>
          </w:tcPr>
          <w:p>
            <w:r>
              <w:t>Fecha</w:t>
            </w:r>
          </w:p>
        </w:tc>
        <w:tc>
          <w:tcPr>
            <w:tcW w:type="dxa" w:w="2280"/>
          </w:tcPr>
          <w:p>
            <w:r>
              <w:t>Descripción del cambio</w:t>
            </w:r>
          </w:p>
        </w:tc>
        <w:tc>
          <w:tcPr>
            <w:tcW w:type="dxa" w:w="2280"/>
          </w:tcPr>
          <w:p>
            <w:r>
              <w:t>Responsable</w:t>
            </w:r>
          </w:p>
        </w:tc>
      </w:tr>
      <w:tr>
        <w:tc>
          <w:tcPr>
            <w:tcW w:type="dxa" w:w="2280"/>
          </w:tcPr>
          <w:p>
            <w:r>
              <w:t>1.0</w:t>
            </w:r>
          </w:p>
        </w:tc>
        <w:tc>
          <w:tcPr>
            <w:tcW w:type="dxa" w:w="2280"/>
          </w:tcPr>
          <w:p>
            <w:r>
              <w:t>17-06-2026</w:t>
            </w:r>
          </w:p>
        </w:tc>
        <w:tc>
          <w:tcPr>
            <w:tcW w:type="dxa" w:w="2280"/>
          </w:tcPr>
          <w:p>
            <w:r>
              <w:t>Emisión inicial del documento</w:t>
            </w:r>
          </w:p>
        </w:tc>
        <w:tc>
          <w:tcPr>
            <w:tcW w:type="dxa" w:w="2280"/>
          </w:tcPr>
          <w:p>
            <w: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yperlink" Target="../01-politicas/POL-SGSI-06%20-%20Pol%C3%ADtica%20de%20uso%20seguro%20de%20dispositivos%20y%20estac.docx" TargetMode="External"/><Relationship Id="rId13" Type="http://schemas.openxmlformats.org/officeDocument/2006/relationships/hyperlink" Target="../02-procedimientos/PROC-SGSI-04%20-%20Procedimiento%20de%20l%C3%ADnea%20base%20de%20software%20%28Ansible%29.docx" TargetMode="External"/><Relationship Id="rId14" Type="http://schemas.openxmlformats.org/officeDocument/2006/relationships/hyperlink" Target="../02-procedimientos/PROC-SGSI-06%20-%20Procedimiento%20de%20alta%2C%20modificaci%C3%B3n%20y%20baja%20de%20accesos.docx" TargetMode="External"/><Relationship Id="rId15" Type="http://schemas.openxmlformats.org/officeDocument/2006/relationships/hyperlink" Target="../02-procedimientos/PROC-SGSI-12%20-%20Procedimiento%20de%20retenci%C3%B3n%20y%20eliminaci%C3%B3n%20segura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795E36-7954-4825-A9B6-5A8E852295F1}"/>
</file>

<file path=customXml/itemProps3.xml><?xml version="1.0" encoding="utf-8"?>
<ds:datastoreItem xmlns:ds="http://schemas.openxmlformats.org/officeDocument/2006/customXml" ds:itemID="{479CEA7A-2D1A-4DF4-9FB5-AD6A9179CAA4}"/>
</file>

<file path=customXml/itemProps4.xml><?xml version="1.0" encoding="utf-8"?>
<ds:datastoreItem xmlns:ds="http://schemas.openxmlformats.org/officeDocument/2006/customXml" ds:itemID="{CACF32D8-FFB2-4839-993B-1FF1BBE18C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