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PROCEDIMIENTOS DEL SISTEMA DE GESTIÓN DE SEGURIDAD DE LA INFORMACIÓN</w:t>
      </w:r>
    </w:p>
    <w:p>
      <w:r>
        <w:t>NovaRetail SpA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Actividad práctica</w:t>
            </w:r>
          </w:p>
        </w:tc>
        <w:tc>
          <w:tcPr>
            <w:tcW w:type="dxa" w:w="4561"/>
          </w:tcPr>
          <w:p>
            <w:r>
              <w:t>Gobernanza e Implementación de un SGSI</w:t>
            </w:r>
          </w:p>
        </w:tc>
      </w:tr>
      <w:tr>
        <w:tc>
          <w:tcPr>
            <w:tcW w:type="dxa" w:w="4561"/>
          </w:tcPr>
          <w:p>
            <w:r>
              <w:t>Asignatura</w:t>
            </w:r>
          </w:p>
        </w:tc>
        <w:tc>
          <w:tcPr>
            <w:tcW w:type="dxa" w:w="4561"/>
          </w:tcPr>
          <w:p>
            <w:r>
              <w:t>Gestión de la Ciberseguridad</w:t>
            </w:r>
          </w:p>
        </w:tc>
      </w:tr>
      <w:tr>
        <w:tc>
          <w:tcPr>
            <w:tcW w:type="dxa" w:w="4561"/>
          </w:tcPr>
          <w:p>
            <w:r>
              <w:t>Integrantes del grupo</w:t>
            </w:r>
          </w:p>
        </w:tc>
        <w:tc>
          <w:tcPr>
            <w:tcW w:type="dxa" w:w="4561"/>
          </w:tcPr>
          <w:p>
            <w:r>
              <w:t>Sergio Cubelli, Savka Carvajal, Joaquín Zambra, Alejandro Tapia, Filippo Moreno</w:t>
            </w:r>
          </w:p>
        </w:tc>
      </w:tr>
      <w:tr>
        <w:tc>
          <w:tcPr>
            <w:tcW w:type="dxa" w:w="4561"/>
          </w:tcPr>
          <w:p>
            <w:r>
              <w:t>Código del conjunto</w:t>
            </w:r>
          </w:p>
        </w:tc>
        <w:tc>
          <w:tcPr>
            <w:tcW w:type="dxa" w:w="4561"/>
          </w:tcPr>
          <w:p>
            <w:r>
              <w:t>PROC-SGSI-01 a PROC-SGSI-18</w:t>
            </w:r>
          </w:p>
        </w:tc>
      </w:tr>
      <w:tr>
        <w:tc>
          <w:tcPr>
            <w:tcW w:type="dxa" w:w="4561"/>
          </w:tcPr>
          <w:p>
            <w:r>
              <w:t>Fecha de emisión</w:t>
            </w:r>
          </w:p>
        </w:tc>
        <w:tc>
          <w:tcPr>
            <w:tcW w:type="dxa" w:w="4561"/>
          </w:tcPr>
          <w:p>
            <w:r>
              <w:t>17-06-2026</w:t>
            </w:r>
          </w:p>
        </w:tc>
      </w:tr>
      <w:tr>
        <w:tc>
          <w:tcPr>
            <w:tcW w:type="dxa" w:w="4561"/>
          </w:tcPr>
          <w:p>
            <w:r>
              <w:t>Versión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t>Estado</w:t>
            </w:r>
          </w:p>
        </w:tc>
        <w:tc>
          <w:tcPr>
            <w:tcW w:type="dxa" w:w="4561"/>
          </w:tcPr>
          <w:p>
            <w:r>
              <w:t>Aprobado</w:t>
            </w:r>
          </w:p>
        </w:tc>
      </w:tr>
      <w:tr>
        <w:tc>
          <w:tcPr>
            <w:tcW w:type="dxa" w:w="4561"/>
          </w:tcPr>
          <w:p>
            <w:r>
              <w:t>Clasificación</w:t>
            </w:r>
          </w:p>
        </w:tc>
        <w:tc>
          <w:tcPr>
            <w:tcW w:type="dxa" w:w="4561"/>
          </w:tcPr>
          <w:p>
            <w:r>
              <w:t>Interno</w:t>
            </w:r>
          </w:p>
        </w:tc>
      </w:tr>
    </w:tbl>
    <w:p>
      <w:r>
        <w:rPr>
          <w:b/>
          <w:sz w:val="28"/>
        </w:rPr>
        <w:t>PROC-SGSI-18 — Procedimiento de cifrado y gestión de llaves</w:t>
      </w:r>
    </w:p>
    <w:p>
      <w:r>
        <w:t>Procedimiento operativo del SGSI de NovaRetail SpA.</w:t>
      </w:r>
    </w:p>
    <w:p>
      <w:r>
        <w:rPr>
          <w:b/>
          <w:sz w:val="26"/>
        </w:rPr>
        <w:t>1.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Código</w:t>
            </w:r>
          </w:p>
        </w:tc>
        <w:tc>
          <w:tcPr>
            <w:tcW w:type="dxa" w:w="4561"/>
          </w:tcPr>
          <w:p>
            <w:r>
              <w:t>PROC-SGSI-18</w:t>
            </w:r>
          </w:p>
        </w:tc>
      </w:tr>
      <w:tr>
        <w:tc>
          <w:tcPr>
            <w:tcW w:type="dxa" w:w="4561"/>
          </w:tcPr>
          <w:p>
            <w:r>
              <w:t>Versión</w:t>
            </w:r>
          </w:p>
        </w:tc>
        <w:tc>
          <w:tcPr>
            <w:tcW w:type="dxa" w:w="4561"/>
          </w:tcPr>
          <w:p>
            <w:r>
              <w:t>1.0</w:t>
            </w:r>
          </w:p>
        </w:tc>
      </w:tr>
      <w:tr>
        <w:tc>
          <w:tcPr>
            <w:tcW w:type="dxa" w:w="4561"/>
          </w:tcPr>
          <w:p>
            <w:r>
              <w:t>Fecha de emisión</w:t>
            </w:r>
          </w:p>
        </w:tc>
        <w:tc>
          <w:tcPr>
            <w:tcW w:type="dxa" w:w="4561"/>
          </w:tcPr>
          <w:p>
            <w:r>
              <w:t>17-06-2026</w:t>
            </w:r>
          </w:p>
        </w:tc>
      </w:tr>
      <w:tr>
        <w:tc>
          <w:tcPr>
            <w:tcW w:type="dxa" w:w="4561"/>
          </w:tcPr>
          <w:p>
            <w:r>
              <w:t>Clasificación</w:t>
            </w:r>
          </w:p>
        </w:tc>
        <w:tc>
          <w:tcPr>
            <w:tcW w:type="dxa" w:w="4561"/>
          </w:tcPr>
          <w:p>
            <w:r>
              <w:t>Interno</w:t>
            </w:r>
          </w:p>
        </w:tc>
      </w:tr>
      <w:tr>
        <w:tc>
          <w:tcPr>
            <w:tcW w:type="dxa" w:w="4561"/>
          </w:tcPr>
          <w:p>
            <w:r>
              <w:t>Elaborado por</w:t>
            </w:r>
          </w:p>
        </w:tc>
        <w:tc>
          <w:tcPr>
            <w:tcW w:type="dxa" w:w="4561"/>
          </w:tcPr>
          <w:p>
            <w:r>
              <w:t>Equipo SGSI NovaRetail</w:t>
            </w:r>
          </w:p>
        </w:tc>
      </w:tr>
      <w:tr>
        <w:tc>
          <w:tcPr>
            <w:tcW w:type="dxa" w:w="4561"/>
          </w:tcPr>
          <w:p>
            <w:r>
              <w:t>Revisado por</w:t>
            </w:r>
          </w:p>
        </w:tc>
        <w:tc>
          <w:tcPr>
            <w:tcW w:type="dxa" w:w="4561"/>
          </w:tcPr>
          <w:p>
            <w:r>
              <w:t>CISO</w:t>
            </w:r>
          </w:p>
        </w:tc>
      </w:tr>
      <w:tr>
        <w:tc>
          <w:tcPr>
            <w:tcW w:type="dxa" w:w="4561"/>
          </w:tcPr>
          <w:p>
            <w:r>
              <w:t>Aprobado por</w:t>
            </w:r>
          </w:p>
        </w:tc>
        <w:tc>
          <w:tcPr>
            <w:tcW w:type="dxa" w:w="4561"/>
          </w:tcPr>
          <w:p>
            <w:r>
              <w:t>Gerencia General</w:t>
            </w:r>
          </w:p>
        </w:tc>
      </w:tr>
      <w:tr>
        <w:tc>
          <w:tcPr>
            <w:tcW w:type="dxa" w:w="4561"/>
          </w:tcPr>
          <w:p>
            <w:r>
              <w:t>Próxima revisión</w:t>
            </w:r>
          </w:p>
        </w:tc>
        <w:tc>
          <w:tcPr>
            <w:tcW w:type="dxa" w:w="4561"/>
          </w:tcPr>
          <w:p>
            <w:r>
              <w:t>17-06-2027</w:t>
            </w:r>
          </w:p>
        </w:tc>
      </w:tr>
      <w:tr>
        <w:tc>
          <w:tcPr>
            <w:tcW w:type="dxa" w:w="4561"/>
          </w:tcPr>
          <w:p>
            <w:r>
              <w:t>Políticas base</w:t>
            </w:r>
          </w:p>
        </w:tc>
        <w:tc>
          <w:tcPr>
            <w:tcW w:type="dxa" w:w="4561"/>
          </w:tcPr>
          <w:p>
            <w:r>
              <w:t>POL-SGSI-12</w:t>
            </w:r>
          </w:p>
        </w:tc>
      </w:tr>
    </w:tbl>
    <w:p>
      <w:r>
        <w:rPr>
          <w:b/>
          <w:sz w:val="26"/>
        </w:rPr>
        <w:t>2. Objetivo</w:t>
      </w:r>
    </w:p>
    <w:p>
      <w:r>
        <w:t>Definir los estándares de cifrado en tránsito y en reposo y el ciclo de vida de las llaves criptográficas de NovaRetail SpA, protegiendo los datos de clientes y de pago.</w:t>
      </w:r>
    </w:p>
    <w:p>
      <w:r>
        <w:rPr>
          <w:b/>
          <w:sz w:val="26"/>
        </w:rPr>
        <w:t>3. Alcance</w:t>
      </w:r>
    </w:p>
    <w:p>
      <w:r>
        <w:t>Aplica a la base de datos de clientes, datos en alcance PCI, respaldos, comunicaciones corporativas, dispositivos de almacenamiento y servicios en la nube.</w:t>
      </w:r>
    </w:p>
    <w:p>
      <w:r>
        <w:rPr>
          <w:b/>
          <w:sz w:val="26"/>
        </w:rPr>
        <w:t>4. Roles y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CISO</w:t>
            </w:r>
          </w:p>
        </w:tc>
        <w:tc>
          <w:tcPr>
            <w:tcW w:type="dxa" w:w="4561"/>
          </w:tcPr>
          <w:p>
            <w:r>
              <w:t>Define los estándares criptográficos y supervisa la gestión de llaves (Accountable).</w:t>
            </w:r>
          </w:p>
        </w:tc>
      </w:tr>
      <w:tr>
        <w:tc>
          <w:tcPr>
            <w:tcW w:type="dxa" w:w="4561"/>
          </w:tcPr>
          <w:p>
            <w:r>
              <w:t>Gerencia TI</w:t>
            </w:r>
          </w:p>
        </w:tc>
        <w:tc>
          <w:tcPr>
            <w:tcW w:type="dxa" w:w="4561"/>
          </w:tcPr>
          <w:p>
            <w:r>
              <w:t>Implementa el cifrado y administra la bóveda/gestor de llaves.</w:t>
            </w:r>
          </w:p>
        </w:tc>
      </w:tr>
      <w:tr>
        <w:tc>
          <w:tcPr>
            <w:tcW w:type="dxa" w:w="4561"/>
          </w:tcPr>
          <w:p>
            <w:r>
              <w:t>DBA</w:t>
            </w:r>
          </w:p>
        </w:tc>
        <w:tc>
          <w:tcPr>
            <w:tcW w:type="dxa" w:w="4561"/>
          </w:tcPr>
          <w:p>
            <w:r>
              <w:t>Asegura el cifrado de las bases de datos de producción y sus respaldos.</w:t>
            </w:r>
          </w:p>
        </w:tc>
      </w:tr>
    </w:tbl>
    <w:p>
      <w:r>
        <w:rPr>
          <w:b/>
          <w:sz w:val="26"/>
        </w:rPr>
        <w:t>5. Descripción del procedimiento</w:t>
      </w:r>
    </w:p>
    <w:p>
      <w:r>
        <w:rPr>
          <w:b/>
        </w:rPr>
        <w:t>Paso 1 — Cifrado en tránsito</w:t>
      </w:r>
    </w:p>
    <w:p>
      <w:r>
        <w:t>• TLS 1.2 o superior en toda comunicación con datos Confidenciales o de pago.</w:t>
      </w:r>
    </w:p>
    <w:p>
      <w:r>
        <w:t>• Configuración validada (sin protocolos/cifradores obsoletos).</w:t>
      </w:r>
    </w:p>
    <w:p>
      <w:r>
        <w:rPr>
          <w:b/>
        </w:rPr>
        <w:t>Paso 2 — Cifrado en reposo</w:t>
      </w:r>
    </w:p>
    <w:p>
      <w:r>
        <w:t>• Cifrado de la base de datos de clientes, discos y respaldos (PROC-SGSI-02).</w:t>
      </w:r>
    </w:p>
    <w:p>
      <w:r>
        <w:t>• Datos PCI y personales (Ley 19.628) siempre cifrados.</w:t>
      </w:r>
    </w:p>
    <w:p>
      <w:r>
        <w:rPr>
          <w:b/>
        </w:rPr>
        <w:t>Paso 3 — Gestión de llaves</w:t>
      </w:r>
    </w:p>
    <w:p>
      <w:r>
        <w:t>• Generación, almacenamiento y custodia de llaves en bóveda/gestor (o HSM cuando aplique).</w:t>
      </w:r>
    </w:p>
    <w:p>
      <w:r>
        <w:t>• Acceso a las llaves bajo mínimo privilegio y con registro.</w:t>
      </w:r>
    </w:p>
    <w:p>
      <w:r>
        <w:rPr>
          <w:b/>
        </w:rPr>
        <w:t>Paso 4 — Rotación y revocación</w:t>
      </w:r>
    </w:p>
    <w:p>
      <w:r>
        <w:t>• Rotación periódica de llaves y rotación inmediata ante sospecha de compromiso.</w:t>
      </w:r>
    </w:p>
    <w:p>
      <w:r>
        <w:t>• Revocación y reemplazo documentados.</w:t>
      </w:r>
    </w:p>
    <w:p>
      <w:r>
        <w:rPr>
          <w:b/>
        </w:rPr>
        <w:t>Paso 5 — Respaldo y recuperación de llaves</w:t>
      </w:r>
    </w:p>
    <w:p>
      <w:r>
        <w:t>• Respaldo seguro de llaves para evitar pérdida de acceso a los datos cifrados.</w:t>
      </w:r>
    </w:p>
    <w:p>
      <w:r>
        <w:rPr>
          <w:b/>
          <w:sz w:val="26"/>
        </w:rPr>
        <w:t>6. Registros y evidencias</w:t>
      </w:r>
    </w:p>
    <w:p>
      <w:r>
        <w:t>• Inventario de llaves criptográficas</w:t>
      </w:r>
    </w:p>
    <w:p>
      <w:r>
        <w:t>• Configuraciones de TLS y de cifrado en reposo</w:t>
      </w:r>
    </w:p>
    <w:p>
      <w:r>
        <w:t>• Evidencia de rotación de llaves</w:t>
      </w:r>
    </w:p>
    <w:p>
      <w:r>
        <w:rPr>
          <w:b/>
          <w:sz w:val="26"/>
        </w:rPr>
        <w:t>7. Documentos relacionados</w:t>
      </w:r>
    </w:p>
    <w:p>
      <w:r>
        <w:rPr>
          <w:b/>
        </w:rPr>
        <w:t xml:space="preserve">Política(s) base vinculada(s): </w:t>
      </w:r>
      <w:hyperlink r:id="rId12">
        <w:r>
          <w:rPr>
            <w:color w:val="0563C1"/>
            <w:u w:val="single"/>
          </w:rPr>
          <w:t xml:space="preserve">POL-SGSI-12 — Cifrado de datos</w:t>
        </w:r>
      </w:hyperlink>
    </w:p>
    <w:p>
      <w:r>
        <w:rPr>
          <w:b/>
        </w:rPr>
        <w:t xml:space="preserve">Procedimientos relacionados: </w:t>
      </w:r>
      <w:hyperlink r:id="rId13">
        <w:r>
          <w:rPr>
            <w:color w:val="0563C1"/>
            <w:u w:val="single"/>
          </w:rPr>
          <w:t xml:space="preserve">PROC-SGSI-02 — Backup de base de datos</w:t>
        </w:r>
      </w:hyperlink>
    </w:p>
    <w:p>
      <w:r>
        <w:t>SoA – controles 8.24 (ISO/IEC 27001:2022). Matriz de riesgos: R-01, R-02, R-03.</w:t>
      </w:r>
    </w:p>
    <w:p>
      <w:r>
        <w:rPr>
          <w:b/>
          <w:sz w:val="26"/>
        </w:rPr>
        <w:t>8. Control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t>Versión</w:t>
            </w:r>
          </w:p>
        </w:tc>
        <w:tc>
          <w:tcPr>
            <w:tcW w:type="dxa" w:w="2280"/>
          </w:tcPr>
          <w:p>
            <w:r>
              <w:t>Fecha</w:t>
            </w:r>
          </w:p>
        </w:tc>
        <w:tc>
          <w:tcPr>
            <w:tcW w:type="dxa" w:w="2280"/>
          </w:tcPr>
          <w:p>
            <w:r>
              <w:t>Descripción del cambio</w:t>
            </w:r>
          </w:p>
        </w:tc>
        <w:tc>
          <w:tcPr>
            <w:tcW w:type="dxa" w:w="2280"/>
          </w:tcPr>
          <w:p>
            <w:r>
              <w:t>Responsable</w:t>
            </w:r>
          </w:p>
        </w:tc>
      </w:tr>
      <w:tr>
        <w:tc>
          <w:tcPr>
            <w:tcW w:type="dxa" w:w="2280"/>
          </w:tcPr>
          <w:p>
            <w:r>
              <w:t>1.0</w:t>
            </w:r>
          </w:p>
        </w:tc>
        <w:tc>
          <w:tcPr>
            <w:tcW w:type="dxa" w:w="2280"/>
          </w:tcPr>
          <w:p>
            <w:r>
              <w:t>17-06-2026</w:t>
            </w:r>
          </w:p>
        </w:tc>
        <w:tc>
          <w:tcPr>
            <w:tcW w:type="dxa" w:w="2280"/>
          </w:tcPr>
          <w:p>
            <w:r>
              <w:t>Emisión inicial del documento</w:t>
            </w:r>
          </w:p>
        </w:tc>
        <w:tc>
          <w:tcPr>
            <w:tcW w:type="dxa" w:w="2280"/>
          </w:tcPr>
          <w:p>
            <w:r>
              <w:t>Equipo SGSI NovaRetail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Relationship Id="rId12" Type="http://schemas.openxmlformats.org/officeDocument/2006/relationships/hyperlink" Target="../01-politicas/POL-SGSI-12%20-%20Pol%C3%ADtica%20de%20cifrado%20de%20datos.docx" TargetMode="External"/><Relationship Id="rId13" Type="http://schemas.openxmlformats.org/officeDocument/2006/relationships/hyperlink" Target="../02-procedimientos/PROC-SGSI-02%20-%20Procedimiento%20de%20backup%20de%20base%20de%20datos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57D06D9BF21845883178A07635BF0C" ma:contentTypeVersion="10" ma:contentTypeDescription="Crear nuevo documento." ma:contentTypeScope="" ma:versionID="575d623067b72151a8374f2b990c1272">
  <xsd:schema xmlns:xsd="http://www.w3.org/2001/XMLSchema" xmlns:xs="http://www.w3.org/2001/XMLSchema" xmlns:p="http://schemas.microsoft.com/office/2006/metadata/properties" xmlns:ns2="ba7224a4-a1e3-4c3e-badf-085058869b86" xmlns:ns3="4fc427ff-965a-4fb4-bd01-7c253ae8b03b" targetNamespace="http://schemas.microsoft.com/office/2006/metadata/properties" ma:root="true" ma:fieldsID="53e290cc238b21a49accbbf14491a7b2" ns2:_="" ns3:_="">
    <xsd:import namespace="ba7224a4-a1e3-4c3e-badf-085058869b86"/>
    <xsd:import namespace="4fc427ff-965a-4fb4-bd01-7c253ae8b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224a4-a1e3-4c3e-badf-085058869b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e777c97-9e47-4338-8e8a-2390167a35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427ff-965a-4fb4-bd01-7c253ae8b03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6247468-c4c7-4c67-a550-c3fa8442b9ab}" ma:internalName="TaxCatchAll" ma:showField="CatchAllData" ma:web="4fc427ff-965a-4fb4-bd01-7c253ae8b0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7224a4-a1e3-4c3e-badf-085058869b86">
      <Terms xmlns="http://schemas.microsoft.com/office/infopath/2007/PartnerControls"/>
    </lcf76f155ced4ddcb4097134ff3c332f>
    <TaxCatchAll xmlns="4fc427ff-965a-4fb4-bd01-7c253ae8b03b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795E36-7954-4825-A9B6-5A8E852295F1}"/>
</file>

<file path=customXml/itemProps3.xml><?xml version="1.0" encoding="utf-8"?>
<ds:datastoreItem xmlns:ds="http://schemas.openxmlformats.org/officeDocument/2006/customXml" ds:itemID="{479CEA7A-2D1A-4DF4-9FB5-AD6A9179CAA4}"/>
</file>

<file path=customXml/itemProps4.xml><?xml version="1.0" encoding="utf-8"?>
<ds:datastoreItem xmlns:ds="http://schemas.openxmlformats.org/officeDocument/2006/customXml" ds:itemID="{CACF32D8-FFB2-4839-993B-1FF1BBE18CE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0x010100F157D06D9BF21845883178A07635BF0C</vt:lpwstr>
  </property>
</Properties>
</file>