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8"/>
        </w:rPr>
        <w:t>PROCEDIMIENTOS DEL SISTEMA DE GESTIÓN DE SEGURIDAD DE LA INFORMACIÓN</w:t>
      </w:r>
    </w:p>
    <w:p>
      <w:r>
        <w:rPr>
          <w:b/>
          <w:i w:val="0"/>
        </w:rPr>
        <w:t>NovaRetail SpA</w:t>
      </w:r>
    </w:p>
    <w:p>
      <w:r>
        <w:rPr>
          <w:b/>
          <w:i w:val="0"/>
          <w:sz w:val="28"/>
        </w:rPr>
        <w:t>PROC-SGSI-14 — Procedimiento de evaluación de proveedores</w:t>
      </w:r>
    </w:p>
    <w:p>
      <w:r>
        <w:rPr>
          <w:b w:val="0"/>
          <w:i/>
        </w:rPr>
        <w:t>Procedimiento operativo del SGSI de NovaRetail SpA.</w:t>
      </w:r>
    </w:p>
    <w:p>
      <w:r>
        <w:rPr>
          <w:b/>
          <w:i w:val="0"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Actividad práctica</w:t>
            </w:r>
          </w:p>
        </w:tc>
        <w:tc>
          <w:tcPr>
            <w:tcW w:type="dxa" w:w="4320"/>
          </w:tcPr>
          <w:p>
            <w:r>
              <w:t>Gobernanza e Implementación de un SGSI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320"/>
          </w:tcPr>
          <w:p>
            <w:r>
              <w:t>Gestión de la Ciberseguridad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Integrantes del grupo</w:t>
            </w:r>
          </w:p>
        </w:tc>
        <w:tc>
          <w:tcPr>
            <w:tcW w:type="dxa" w:w="4320"/>
          </w:tcPr>
          <w:p>
            <w:r>
              <w:t>Sergio Cubelli</w:t>
              <w:br/>
              <w:t>Savka Carvajal</w:t>
              <w:br/>
              <w:t>Joaquín Zambra</w:t>
              <w:br/>
              <w:t>Alejandro Tapia</w:t>
              <w:br/>
              <w:t>Filippo Moreno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emisión</w:t>
            </w:r>
          </w:p>
        </w:tc>
        <w:tc>
          <w:tcPr>
            <w:tcW w:type="dxa" w:w="4320"/>
          </w:tcPr>
          <w:p>
            <w:r>
              <w:t>22-04-2026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Aprobado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4320"/>
          </w:tcPr>
          <w:p>
            <w:r>
              <w:t>Interno</w:t>
            </w:r>
          </w:p>
        </w:tc>
      </w:tr>
    </w:tbl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320"/>
          </w:tcPr>
          <w:p>
            <w:r>
              <w:t>PROC-SGSI-14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emisión</w:t>
            </w:r>
          </w:p>
        </w:tc>
        <w:tc>
          <w:tcPr>
            <w:tcW w:type="dxa" w:w="4320"/>
          </w:tcPr>
          <w:p>
            <w:r>
              <w:t>22-04-2026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4320"/>
          </w:tcPr>
          <w:p>
            <w:r>
              <w:t>Interno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Elaborado por</w:t>
            </w:r>
          </w:p>
        </w:tc>
        <w:tc>
          <w:tcPr>
            <w:tcW w:type="dxa" w:w="4320"/>
          </w:tcPr>
          <w:p>
            <w:r>
              <w:t>Equipo SGSI NovaRetail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Revisado por</w:t>
            </w:r>
          </w:p>
        </w:tc>
        <w:tc>
          <w:tcPr>
            <w:tcW w:type="dxa" w:w="4320"/>
          </w:tcPr>
          <w:p>
            <w:r>
              <w:t>CISO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Aprobado por</w:t>
            </w:r>
          </w:p>
        </w:tc>
        <w:tc>
          <w:tcPr>
            <w:tcW w:type="dxa" w:w="4320"/>
          </w:tcPr>
          <w:p>
            <w:r>
              <w:t>Gerencia General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Próxima revisión</w:t>
            </w:r>
          </w:p>
        </w:tc>
        <w:tc>
          <w:tcPr>
            <w:tcW w:type="dxa" w:w="4320"/>
          </w:tcPr>
          <w:p>
            <w:r>
              <w:t>22-04-2027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Políticas base</w:t>
            </w:r>
          </w:p>
        </w:tc>
        <w:tc>
          <w:tcPr>
            <w:tcW w:type="dxa" w:w="4320"/>
          </w:tcPr>
          <w:p>
            <w:r>
              <w:t>POL-SGSI-13 — Gestión de proveedores y terceros OIV</w:t>
            </w:r>
          </w:p>
        </w:tc>
      </w:tr>
    </w:tbl>
    <w:p>
      <w:r>
        <w:rPr>
          <w:b/>
          <w:i w:val="0"/>
          <w:sz w:val="26"/>
        </w:rPr>
        <w:t>2. Objetivo</w:t>
      </w:r>
    </w:p>
    <w:p>
      <w:r>
        <w:rPr>
          <w:b w:val="0"/>
          <w:i w:val="0"/>
        </w:rPr>
        <w:t>Definir los pasos operativos para evaluar, clasificar, contratar, monitorear y dar de baja a proveedores y terceros con acceso a sistemas, datos o infraestructura de NovaRetail SpA, asegurando que la cadena de suministro digital cumpla los requisitos de seguridad de POL-SGSI-13, con énfasis en proveedores que califican como Operadores de Importancia Vital (OIV) bajo la Ley N° 21.663.</w:t>
      </w:r>
    </w:p>
    <w:p>
      <w:r>
        <w:rPr>
          <w:b/>
          <w:i w:val="0"/>
          <w:sz w:val="26"/>
        </w:rPr>
        <w:t>3. Alcance</w:t>
      </w:r>
    </w:p>
    <w:p>
      <w:r>
        <w:rPr>
          <w:b w:val="0"/>
          <w:i w:val="0"/>
        </w:rPr>
        <w:t>Aplica a todos los proveedores, contratistas y terceros que accedan a sistemas o datos de NovaRetail, presten servicios críticos para la operación (proveedor logístico, pasarela de pago, proveedor de cloud, mantenimiento TI) o procesen datos personales de clientes en su nombre (encargados de tratamiento bajo Ley N° 19.628).</w:t>
      </w:r>
    </w:p>
    <w:p>
      <w:r>
        <w:rPr>
          <w:b/>
          <w:i w:val="0"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CISO</w:t>
            </w:r>
          </w:p>
        </w:tc>
        <w:tc>
          <w:tcPr>
            <w:tcW w:type="dxa" w:w="4320"/>
          </w:tcPr>
          <w:p>
            <w:r>
              <w:t>Lidera el due diligence de seguridad, clasifica al proveedor por criticidad, aprueba la contratación desde la óptica de seguridad y conduce las auditorías periódicas.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Gerencia TI</w:t>
            </w:r>
          </w:p>
        </w:tc>
        <w:tc>
          <w:tcPr>
            <w:tcW w:type="dxa" w:w="4320"/>
          </w:tcPr>
          <w:p>
            <w:r>
              <w:t>Gestiona los accesos del proveedor (PROC-SGSI-06), monitorea su actividad en los sistemas y ejecuta la revocación al término del contrato.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Área de Compras / Contratos</w:t>
            </w:r>
          </w:p>
        </w:tc>
        <w:tc>
          <w:tcPr>
            <w:tcW w:type="dxa" w:w="4320"/>
          </w:tcPr>
          <w:p>
            <w:r>
              <w:t>Coordina la relación comercial e incorpora al contrato las cláusulas de seguridad exigidas por el CISO.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Área Legal</w:t>
            </w:r>
          </w:p>
        </w:tc>
        <w:tc>
          <w:tcPr>
            <w:tcW w:type="dxa" w:w="4320"/>
          </w:tcPr>
          <w:p>
            <w:r>
              <w:t>Valida las cláusulas de encargado de tratamiento (Ley 19.628), NDA y obligaciones de notificación de incidentes.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Proveedor / tercero</w:t>
            </w:r>
          </w:p>
        </w:tc>
        <w:tc>
          <w:tcPr>
            <w:tcW w:type="dxa" w:w="4320"/>
          </w:tcPr>
          <w:p>
            <w:r>
              <w:t>Responde el cuestionario de seguridad, aporta evidencia de certificaciones y cumple los SLA de seguridad acordados.</w:t>
            </w:r>
          </w:p>
        </w:tc>
      </w:tr>
    </w:tbl>
    <w:p>
      <w:r>
        <w:rPr>
          <w:b/>
          <w:i w:val="0"/>
          <w:sz w:val="26"/>
        </w:rPr>
        <w:t>5. Descripción del procedimiento</w:t>
      </w:r>
    </w:p>
    <w:p>
      <w:r>
        <w:rPr>
          <w:b/>
          <w:i w:val="0"/>
          <w:sz w:val="22"/>
        </w:rPr>
        <w:t>PROCESO A — Clasificación por criticidad</w:t>
      </w:r>
    </w:p>
    <w:p>
      <w:r>
        <w:rPr>
          <w:b w:val="0"/>
          <w:i w:val="0"/>
        </w:rPr>
        <w:t>Antes de contratar, el CISO clasifica al proveedor según el acceso y la criticidad del servicio: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Tratamiento</w:t>
            </w:r>
          </w:p>
        </w:tc>
      </w:tr>
      <w:tr>
        <w:tc>
          <w:tcPr>
            <w:tcW w:type="dxa" w:w="2880"/>
          </w:tcPr>
          <w:p>
            <w:r>
              <w:t>Crítico / OIV</w:t>
            </w:r>
          </w:p>
        </w:tc>
        <w:tc>
          <w:tcPr>
            <w:tcW w:type="dxa" w:w="2880"/>
          </w:tcPr>
          <w:p>
            <w:r>
              <w:t>Acceso a datos PCI, datos personales masivos o servicios esenciales para la operación.</w:t>
            </w:r>
          </w:p>
        </w:tc>
        <w:tc>
          <w:tcPr>
            <w:tcW w:type="dxa" w:w="2880"/>
          </w:tcPr>
          <w:p>
            <w:r>
              <w:t>Due diligence completo, auditoría anual, cláusulas reforzadas y verificación de cumplimiento Ley 21.663.</w:t>
            </w:r>
          </w:p>
        </w:tc>
      </w:tr>
      <w:tr>
        <w:tc>
          <w:tcPr>
            <w:tcW w:type="dxa" w:w="2880"/>
          </w:tcPr>
          <w:p>
            <w:r>
              <w:t>Alto</w:t>
            </w:r>
          </w:p>
        </w:tc>
        <w:tc>
          <w:tcPr>
            <w:tcW w:type="dxa" w:w="2880"/>
          </w:tcPr>
          <w:p>
            <w:r>
              <w:t>Acceso a sistemas internos o datos Confidenciales sin alcance PCI.</w:t>
            </w:r>
          </w:p>
        </w:tc>
        <w:tc>
          <w:tcPr>
            <w:tcW w:type="dxa" w:w="2880"/>
          </w:tcPr>
          <w:p>
            <w:r>
              <w:t>Cuestionario de seguridad, revisión semestral y cláusulas de seguridad estándar.</w:t>
            </w:r>
          </w:p>
        </w:tc>
      </w:tr>
      <w:tr>
        <w:tc>
          <w:tcPr>
            <w:tcW w:type="dxa" w:w="2880"/>
          </w:tcPr>
          <w:p>
            <w:r>
              <w:t>Medio / Bajo</w:t>
            </w:r>
          </w:p>
        </w:tc>
        <w:tc>
          <w:tcPr>
            <w:tcW w:type="dxa" w:w="2880"/>
          </w:tcPr>
          <w:p>
            <w:r>
              <w:t>Acceso limitado o sin acceso a datos sensibles.</w:t>
            </w:r>
          </w:p>
        </w:tc>
        <w:tc>
          <w:tcPr>
            <w:tcW w:type="dxa" w:w="2880"/>
          </w:tcPr>
          <w:p>
            <w:r>
              <w:t>Cuestionario básico y cláusula general de confidencialidad.</w:t>
            </w:r>
          </w:p>
        </w:tc>
      </w:tr>
    </w:tbl>
    <w:p>
      <w:r>
        <w:rPr>
          <w:b/>
          <w:i w:val="0"/>
          <w:sz w:val="22"/>
        </w:rPr>
        <w:t>PROCESO B — Due diligence previo a la contratación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El CISO envía el cuestionario de seguridad (CSP-01) al proveedor según su nivel de criticidad.</w:t>
            </w:r>
          </w:p>
        </w:tc>
        <w:tc>
          <w:tcPr>
            <w:tcW w:type="dxa" w:w="2880"/>
          </w:tcPr>
          <w:p>
            <w:r>
              <w:t>CISO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El proveedor responde el cuestionario y aporta evidencia de certificaciones (ISO 27001, SOC 2, PCI DSS según aplique) y su política de gestión de incidentes.</w:t>
            </w:r>
          </w:p>
        </w:tc>
        <w:tc>
          <w:tcPr>
            <w:tcW w:type="dxa" w:w="2880"/>
          </w:tcPr>
          <w:p>
            <w:r>
              <w:t>Proveedor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El CISO evalúa las respuestas, identifica brechas y, para proveedores OIV, verifica el cumplimiento de la Ley 21.663 y las obligaciones de notificación hacia NovaRetail.</w:t>
            </w:r>
          </w:p>
        </w:tc>
        <w:tc>
          <w:tcPr>
            <w:tcW w:type="dxa" w:w="2880"/>
          </w:tcPr>
          <w:p>
            <w:r>
              <w:t>CISO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Se documenta el resultado del due diligence (apto / apto con condiciones / no apto) y se archiva junto al contrato.</w:t>
            </w:r>
          </w:p>
        </w:tc>
        <w:tc>
          <w:tcPr>
            <w:tcW w:type="dxa" w:w="2880"/>
          </w:tcPr>
          <w:p>
            <w:r>
              <w:t>CISO / Compras</w:t>
            </w:r>
          </w:p>
        </w:tc>
      </w:tr>
    </w:tbl>
    <w:p>
      <w:r>
        <w:rPr>
          <w:b/>
          <w:i w:val="0"/>
          <w:sz w:val="22"/>
        </w:rPr>
        <w:t>PROCESO C — Requisitos contractuales y habilitación de accesos</w:t>
      </w:r>
    </w:p>
    <w:p>
      <w:r>
        <w:rPr>
          <w:b w:val="0"/>
          <w:i w:val="0"/>
        </w:rPr>
        <w:t>Todo contrato con proveedores Críticos o Altos debe incluir cláusulas de seguridad:</w:t>
      </w:r>
    </w:p>
    <w:p>
      <w:r>
        <w:t>• Notificación de incidentes que afecten datos o servicios de NovaRetail dentro de 3 horas (alineado con Ley 21.663).</w:t>
      </w:r>
    </w:p>
    <w:p>
      <w:r>
        <w:t>• Derecho de auditoría con preaviso de 15 días hábiles.</w:t>
      </w:r>
    </w:p>
    <w:p>
      <w:r>
        <w:t>• Prohibición de subcontratar servicios con acceso a datos sin aprobación previa.</w:t>
      </w:r>
    </w:p>
    <w:p>
      <w:r>
        <w:t>• Obligaciones de cifrado de los datos de NovaRetail que almacene o transmita.</w:t>
      </w:r>
    </w:p>
    <w:p>
      <w:r>
        <w:t>• Procedimiento de devolución o eliminación segura de datos al término del contrato.</w:t>
      </w:r>
    </w:p>
    <w:p>
      <w:r>
        <w:t>• Cláusulas de encargado de tratamiento (Ley 19.628) cuando trate datos personales.</w:t>
      </w:r>
    </w:p>
    <w:p>
      <w:r>
        <w:t>• SLA de seguridad con tiempo máximo de respuesta ante incidentes.</w:t>
      </w:r>
    </w:p>
    <w:p>
      <w:r>
        <w:rPr>
          <w:b w:val="0"/>
          <w:i w:val="0"/>
        </w:rPr>
        <w:t>Una vez firmado el contrato, los accesos del proveedor se otorgan vía PROC-SGSI-06 con aprobación del CISO, nominales, con MFA y limitados en tiempo y alcance.</w:t>
      </w:r>
    </w:p>
    <w:p>
      <w:r>
        <w:rPr>
          <w:b/>
          <w:i w:val="0"/>
          <w:sz w:val="22"/>
        </w:rPr>
        <w:t>PROCESO D — Seguimiento y auditoría periódica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Nivel de proveedor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Frecuencia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Actividad</w:t>
            </w:r>
          </w:p>
        </w:tc>
      </w:tr>
      <w:tr>
        <w:tc>
          <w:tcPr>
            <w:tcW w:type="dxa" w:w="2880"/>
          </w:tcPr>
          <w:p>
            <w:r>
              <w:t>Crítico / OIV</w:t>
            </w:r>
          </w:p>
        </w:tc>
        <w:tc>
          <w:tcPr>
            <w:tcW w:type="dxa" w:w="2880"/>
          </w:tcPr>
          <w:p>
            <w:r>
              <w:t>Anual</w:t>
            </w:r>
          </w:p>
        </w:tc>
        <w:tc>
          <w:tcPr>
            <w:tcW w:type="dxa" w:w="2880"/>
          </w:tcPr>
          <w:p>
            <w:r>
              <w:t>Auditoría de postura de seguridad, incidentes del año y cumplimiento de SLAs.</w:t>
            </w:r>
          </w:p>
        </w:tc>
      </w:tr>
      <w:tr>
        <w:tc>
          <w:tcPr>
            <w:tcW w:type="dxa" w:w="2880"/>
          </w:tcPr>
          <w:p>
            <w:r>
              <w:t>Alto</w:t>
            </w:r>
          </w:p>
        </w:tc>
        <w:tc>
          <w:tcPr>
            <w:tcW w:type="dxa" w:w="2880"/>
          </w:tcPr>
          <w:p>
            <w:r>
              <w:t>Semestral</w:t>
            </w:r>
          </w:p>
        </w:tc>
        <w:tc>
          <w:tcPr>
            <w:tcW w:type="dxa" w:w="2880"/>
          </w:tcPr>
          <w:p>
            <w:r>
              <w:t>Re-envío y revisión del cuestionario de seguridad actualizado.</w:t>
            </w:r>
          </w:p>
        </w:tc>
      </w:tr>
      <w:tr>
        <w:tc>
          <w:tcPr>
            <w:tcW w:type="dxa" w:w="2880"/>
          </w:tcPr>
          <w:p>
            <w:r>
              <w:t>Todos</w:t>
            </w:r>
          </w:p>
        </w:tc>
        <w:tc>
          <w:tcPr>
            <w:tcW w:type="dxa" w:w="2880"/>
          </w:tcPr>
          <w:p>
            <w:r>
              <w:t>Mensual</w:t>
            </w:r>
          </w:p>
        </w:tc>
        <w:tc>
          <w:tcPr>
            <w:tcW w:type="dxa" w:w="2880"/>
          </w:tcPr>
          <w:p>
            <w:r>
              <w:t>Gerencia TI revisa los accesos activos del proveedor y los reporta al CISO.</w:t>
            </w:r>
          </w:p>
        </w:tc>
      </w:tr>
    </w:tbl>
    <w:p>
      <w:r>
        <w:t>• Si un proveedor sufre un incidente que potencialmente afecta datos de NovaRetail, el CISO activa la evaluación de impacto y la notificación a ANCI si corresponde (POL-SGSI-11).</w:t>
      </w:r>
    </w:p>
    <w:p>
      <w:r>
        <w:t>• Los proveedores que incumplan reiteradamente son descalificados o sujetos a controles compensatorios más estrictos.</w:t>
      </w:r>
    </w:p>
    <w:p>
      <w:r>
        <w:rPr>
          <w:b/>
          <w:i w:val="0"/>
          <w:sz w:val="22"/>
        </w:rPr>
        <w:t>PROCESO E — Término del contrato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Gerencia TI revoca todos los accesos del proveedor dentro de las 4 horas de notificada la baja.</w:t>
            </w:r>
          </w:p>
        </w:tc>
        <w:tc>
          <w:tcPr>
            <w:tcW w:type="dxa" w:w="2880"/>
          </w:tcPr>
          <w:p>
            <w:r>
              <w:t>Gerencia TI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Se exige al proveedor confirmación escrita de la eliminación de datos de NovaRetail en su poder (PROC-SGSI-12).</w:t>
            </w:r>
          </w:p>
        </w:tc>
        <w:tc>
          <w:tcPr>
            <w:tcW w:type="dxa" w:w="2880"/>
          </w:tcPr>
          <w:p>
            <w:r>
              <w:t>CISO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 archivan los registros de acceso del proveedor por 3 años.</w:t>
            </w:r>
          </w:p>
        </w:tc>
        <w:tc>
          <w:tcPr>
            <w:tcW w:type="dxa" w:w="2880"/>
          </w:tcPr>
          <w:p>
            <w:r>
              <w:t>Gerencia TI</w:t>
            </w:r>
          </w:p>
        </w:tc>
      </w:tr>
    </w:tbl>
    <w:p>
      <w:r>
        <w:rPr>
          <w:b/>
          <w:i w:val="0"/>
          <w:sz w:val="26"/>
        </w:rPr>
        <w:t>6. Registros y evidencias</w:t>
      </w:r>
    </w:p>
    <w:p>
      <w:r>
        <w:t>• Cuestionario de seguridad CSP-01 respondido por el proveedor.</w:t>
      </w:r>
    </w:p>
    <w:p>
      <w:r>
        <w:t>• Informe de due diligence con clasificación y decisión (retención: vigencia + 3 años).</w:t>
      </w:r>
    </w:p>
    <w:p>
      <w:r>
        <w:t>• Contrato firmado con cláusulas de seguridad y, si aplica, cláusula de encargado de tratamiento.</w:t>
      </w:r>
    </w:p>
    <w:p>
      <w:r>
        <w:t>• Evidencia de certificaciones del proveedor (ISO 27001, SOC 2, PCI DSS).</w:t>
      </w:r>
    </w:p>
    <w:p>
      <w:r>
        <w:t>• Informes de auditoría anual / revisión semestral.</w:t>
      </w:r>
    </w:p>
    <w:p>
      <w:r>
        <w:t>• Registro mensual de accesos del proveedor revisado por el CISO.</w:t>
      </w:r>
    </w:p>
    <w:p>
      <w:r>
        <w:t>• Confirmación escrita de eliminación de datos al término del contrato.</w:t>
      </w:r>
    </w:p>
    <w:p>
      <w:r>
        <w:rPr>
          <w:b/>
          <w:i w:val="0"/>
          <w:sz w:val="26"/>
        </w:rPr>
        <w:t>7. Documentos relacionados</w:t>
      </w:r>
    </w:p>
    <w:p>
      <w:r>
        <w:t>• POL-SGSI-13 — Política de gestión de proveedores y terceros OIV</w:t>
      </w:r>
    </w:p>
    <w:p>
      <w:r>
        <w:t>• POL-SGSI-11 — Política de gestión de incidentes y reporte ANCI</w:t>
      </w:r>
    </w:p>
    <w:p>
      <w:r>
        <w:t>• PROC-SGSI-06 — Procedimiento de alta, modificación y baja de accesos</w:t>
      </w:r>
    </w:p>
    <w:p>
      <w:r>
        <w:t>• PROC-SGSI-12 — Procedimiento de retención y eliminación segura</w:t>
      </w:r>
    </w:p>
    <w:p>
      <w:r>
        <w:t>• Ley N° 21.663 — Ley Marco de Ciberseguridad (Chile, 2024)</w:t>
      </w:r>
    </w:p>
    <w:p>
      <w:r>
        <w:t>• Ley N° 19.628 — Protección de datos personales (Chile)</w:t>
      </w:r>
    </w:p>
    <w:p>
      <w:r>
        <w:t>• SoA – controles 5.19, 5.20, 5.21, 5.22, 5.23 (ISO/IEC 27001:2022)</w:t>
      </w:r>
    </w:p>
    <w:p>
      <w:r>
        <w:t>• Matriz de riesgos (R-05, R-13)</w:t>
      </w:r>
    </w:p>
    <w:p>
      <w:r>
        <w:rPr>
          <w:b/>
          <w:i w:val="0"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 del cambio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22-04-2026</w:t>
            </w:r>
          </w:p>
        </w:tc>
        <w:tc>
          <w:tcPr>
            <w:tcW w:type="dxa" w:w="2160"/>
          </w:tcPr>
          <w:p>
            <w:r>
              <w:t>Emisión inicial del documento</w:t>
            </w:r>
          </w:p>
        </w:tc>
        <w:tc>
          <w:tcPr>
            <w:tcW w:type="dxa" w:w="2160"/>
          </w:tcPr>
          <w:p>
            <w:r>
              <w:t>Equipo SGSI NovaRetail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