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POL-SGSI-12 — Política de cifrado de datos</w:t>
      </w:r>
    </w:p>
    <w:p>
      <w:pPr>
        <w:jc w:val="center"/>
      </w:pPr>
      <w:r>
        <w:rPr>
          <w:i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POL-SGSI-12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requisitos mínimos de cifrado para proteger la confidencialidad e integridad de la información de NovaRetail SpA en tránsito y en reposo, asegurando que los datos sensibles estén protegidos criptográficamente en todos los entornos donde se almacenan, transmiten o respaldan.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 la información Confidencial o Secreta (según POL-SGSI-10) de NovaRetail SpA en cualquier formato: bases de datos de clientes, datos PCI, credenciales, backups, comunicaciones corporativas, dispositivos de almacenamiento y servicios en la nube. Alcanza a todos los sistemas, aplicaciones y dispositivos gestionados por NovaRetail.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Define los estándares criptográficos, aprueba las herramientas de cifrado y supervisa la gestión de llaves.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Implementa el cifrado en sistemas, redes, dispositivos y backups. Administra el gestor de llaves corporativo.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DBA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Asegura que las bases de datos de producción y sus backups estén cifrados conforme a esta política.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Jefe Desarrollo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Garantiza que el portal e-commerce use TLS actualizado y que no haya datos sensibles en texto plano en el código.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Todos los usuarios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Utilizan solo los canales y herramientas de comunicación cifrados autorizados para compartir información Confidencial.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40"/>
      </w:pPr>
      <w:r>
        <w:rPr>
          <w:b/>
          <w:sz w:val="22"/>
        </w:rPr>
        <w:t>5.1 Cifrado de datos en tránsito</w:t>
      </w:r>
    </w:p>
    <w:p>
      <w:pPr>
        <w:spacing w:after="40"/>
      </w:pPr>
      <w:r>
        <w:rPr>
          <w:sz w:val="22"/>
        </w:rPr>
        <w:t>• Toda comunicación que transporte información Confidencial o Secreta debe cifrarse con TLS 1.2 como mínimo; se prefiere TLS 1.3.</w:t>
      </w:r>
    </w:p>
    <w:p>
      <w:pPr>
        <w:spacing w:after="40"/>
      </w:pPr>
      <w:r>
        <w:rPr>
          <w:sz w:val="22"/>
        </w:rPr>
        <w:t>• Queda prohibido el uso de protocolos inseguros (HTTP, FTP, Telnet, SSLv3, TLS 1.0, TLS 1.1) para transportar información clasificada.</w:t>
      </w:r>
    </w:p>
    <w:p>
      <w:pPr>
        <w:spacing w:after="40"/>
      </w:pPr>
      <w:r>
        <w:rPr>
          <w:sz w:val="22"/>
        </w:rPr>
        <w:t>• El portal e-commerce opera exclusivamente en HTTPS con certificado TLS válido, configurado con HSTS (strict-transport-security).</w:t>
      </w:r>
    </w:p>
    <w:p>
      <w:pPr>
        <w:spacing w:after="40"/>
      </w:pPr>
      <w:r>
        <w:rPr>
          <w:sz w:val="22"/>
        </w:rPr>
        <w:t>• Las conexiones SSH a servidores usan únicamente autenticación por clave (mínimo RSA 4096 bits o Ed25519); se prohíbe la autenticación solo por contraseña.</w:t>
      </w:r>
    </w:p>
    <w:p>
      <w:pPr>
        <w:spacing w:after="40"/>
      </w:pPr>
      <w:r>
        <w:rPr>
          <w:sz w:val="22"/>
        </w:rPr>
        <w:t>• Las VPN corporativas usan cifrado AES-256-GCM con intercambio de llaves IKEv2 o equivalente.</w:t>
      </w:r>
    </w:p>
    <w:p>
      <w:pPr>
        <w:spacing w:after="40"/>
      </w:pPr>
      <w:r>
        <w:rPr>
          <w:sz w:val="22"/>
        </w:rPr>
        <w:t>• Los correos con información Confidencial se envían solo por el canal corporativo (M365); se recomienda S/MIME o cifrado de adjuntos para información Secreta.</w:t>
      </w:r>
    </w:p>
    <w:p>
      <w:pPr>
        <w:spacing w:after="40"/>
      </w:pPr>
      <w:r>
        <w:rPr>
          <w:sz w:val="22"/>
        </w:rPr>
        <w:t>• Las APIs internas y externas del portal e-commerce usan TLS 1.2+ y tokens de autenticación (OAuth 2.0 / JWT firmados).</w:t>
      </w:r>
    </w:p>
    <w:p>
      <w:pPr>
        <w:spacing w:before="140"/>
      </w:pPr>
      <w:r>
        <w:rPr>
          <w:b/>
          <w:sz w:val="22"/>
        </w:rPr>
        <w:t>5.2 Cifrado de datos en reposo</w:t>
      </w:r>
    </w:p>
    <w:p>
      <w:pPr>
        <w:spacing w:after="40"/>
      </w:pPr>
      <w:r>
        <w:rPr>
          <w:sz w:val="22"/>
        </w:rPr>
        <w:t>• Las bases de datos que contienen datos de clientes, información financiera o datos PCI deben estar cifradas a nivel de disco o de BD (AES-256).</w:t>
      </w:r>
    </w:p>
    <w:p>
      <w:pPr>
        <w:spacing w:after="40"/>
      </w:pPr>
      <w:r>
        <w:rPr>
          <w:sz w:val="22"/>
        </w:rPr>
        <w:t>• Los backups de bases de datos se cifran con AES-256 antes de su almacenamiento, usando llaves gestionadas en el gestor de llaves corporativo (separado del servidor de backup).</w:t>
      </w:r>
    </w:p>
    <w:p>
      <w:pPr>
        <w:spacing w:after="40"/>
      </w:pPr>
      <w:r>
        <w:rPr>
          <w:sz w:val="22"/>
        </w:rPr>
        <w:t>• Los laptops y estaciones de trabajo corporativos con acceso a información Confidencial deben tener cifrado de disco completo habilitado (BitLocker / LUKS).</w:t>
      </w:r>
    </w:p>
    <w:p>
      <w:pPr>
        <w:spacing w:after="40"/>
      </w:pPr>
      <w:r>
        <w:rPr>
          <w:sz w:val="22"/>
        </w:rPr>
        <w:t>• Los dispositivos de almacenamiento removibles (USB, discos externos) que transporten información Confidencial deben estar cifrados.</w:t>
      </w:r>
    </w:p>
    <w:p>
      <w:pPr>
        <w:spacing w:after="40"/>
      </w:pPr>
      <w:r>
        <w:rPr>
          <w:sz w:val="22"/>
        </w:rPr>
        <w:t>• Los respaldos offsite (nube o cinta) se cifran antes de salir del datacenter.</w:t>
      </w:r>
    </w:p>
    <w:p>
      <w:pPr>
        <w:spacing w:after="40"/>
      </w:pPr>
      <w:r>
        <w:rPr>
          <w:sz w:val="22"/>
        </w:rPr>
        <w:t>• Los secretos de API, llaves SSH privadas y tokens de servicio se almacenan exclusivamente en el gestor de credenciales corporativo (nunca en repositorios de código ni archivos de configuración en texto plano).</w:t>
      </w:r>
    </w:p>
    <w:p>
      <w:pPr>
        <w:spacing w:before="140"/>
      </w:pPr>
      <w:r>
        <w:rPr>
          <w:b/>
          <w:sz w:val="22"/>
        </w:rPr>
        <w:t>5.3 Gestión de llaves criptográficas</w:t>
      </w:r>
    </w:p>
    <w:p>
      <w:pPr>
        <w:spacing w:after="40"/>
      </w:pPr>
      <w:r>
        <w:rPr>
          <w:sz w:val="22"/>
        </w:rPr>
        <w:t>• Las llaves criptográficas se generan, almacenan y rotan en el gestor de llaves corporativo, separado de los sistemas que cifran los datos.</w:t>
      </w:r>
    </w:p>
    <w:p>
      <w:pPr>
        <w:spacing w:after="40"/>
      </w:pPr>
      <w:r>
        <w:rPr>
          <w:sz w:val="22"/>
        </w:rPr>
        <w:t>• Las llaves maestras de cifrado de backups se rotan anualmente o inmediatamente ante sospecha de compromiso.</w:t>
      </w:r>
    </w:p>
    <w:p>
      <w:pPr>
        <w:spacing w:after="40"/>
      </w:pPr>
      <w:r>
        <w:rPr>
          <w:sz w:val="22"/>
        </w:rPr>
        <w:t>• Ningún empleado puede exportar o copiar llaves privadas fuera del gestor sin autorización expresa del CISO.</w:t>
      </w:r>
    </w:p>
    <w:p>
      <w:pPr>
        <w:spacing w:after="40"/>
      </w:pPr>
      <w:r>
        <w:rPr>
          <w:sz w:val="22"/>
        </w:rPr>
        <w:t>• Al desvincularse un administrador con acceso a llaves, se rota la llave correspondiente dentro de las 24 horas.</w:t>
      </w:r>
    </w:p>
    <w:p>
      <w:pPr>
        <w:spacing w:after="40"/>
      </w:pPr>
      <w:r>
        <w:rPr>
          <w:sz w:val="22"/>
        </w:rPr>
        <w:t>• Se mantiene un inventario de llaves activas con: sistema que cifra, algoritmo, tamaño, fecha de creación y fecha de próxima rotación.</w:t>
      </w:r>
    </w:p>
    <w:p>
      <w:pPr>
        <w:spacing w:before="140"/>
      </w:pPr>
      <w:r>
        <w:rPr>
          <w:b/>
          <w:sz w:val="22"/>
        </w:rPr>
        <w:t>5.4 Estándares criptográficos mínimos aprobados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835"/>
        <w:gridCol w:w="3969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Algoritmo mínimo aprobado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Prohibido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Cifrado simétrico (datos en reposo/tránsito)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AES-256-GCM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DES, 3DES, RC4, AES-128 para datos PCI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Cifrado asimétrico / intercambio de llaves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RSA-4096 o Curva elíptica P-256+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RSA &lt; 2048, DH &lt; 2048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Firma digital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SHA-256 o superior (SHA-3)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MD5, SHA-1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TLS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TLS 1.2 (preferible 1.3)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SSLv2, SSLv3, TLS 1.0, TLS 1.1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Ed25519 o RSA-4096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DSA, RSA &lt; 2048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Hashing de contraseñas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bcrypt, Argon2, scrypt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MD5, SHA-1, SHA-256 sin sal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 El uso de algoritmos criptográficos prohibidos o el almacenamiento de datos sensibles en texto plano puede constituir una infracción regulatoria (PCI DSS, Ley N° 19.628) con sanciones adicionales.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POL-SGSI-10 — Política de manejo de información y clasificación</w:t>
      </w:r>
    </w:p>
    <w:p>
      <w:pPr>
        <w:spacing w:after="40"/>
      </w:pPr>
      <w:r>
        <w:rPr>
          <w:sz w:val="22"/>
        </w:rPr>
        <w:t>• POL-SGSI-03 — Política de respaldo y recuperación</w:t>
      </w:r>
    </w:p>
    <w:p>
      <w:pPr>
        <w:spacing w:after="40"/>
      </w:pPr>
      <w:r>
        <w:rPr>
          <w:sz w:val="22"/>
        </w:rPr>
        <w:t>• POL-SGSI-02 — Política de gestión de contraseñas y autenticación</w:t>
      </w:r>
    </w:p>
    <w:p>
      <w:pPr>
        <w:spacing w:after="40"/>
      </w:pPr>
      <w:r>
        <w:rPr>
          <w:sz w:val="22"/>
        </w:rPr>
        <w:t>• PROC-SGSI-02 — Procedimiento de backup de base de datos</w:t>
      </w:r>
    </w:p>
    <w:p>
      <w:pPr>
        <w:spacing w:after="40"/>
      </w:pPr>
      <w:r>
        <w:rPr>
          <w:sz w:val="22"/>
        </w:rPr>
        <w:t>• SoA – controles 8.24, 8.26 (ISO/IEC 27001:2022)</w:t>
      </w:r>
    </w:p>
    <w:p>
      <w:pPr>
        <w:spacing w:after="40"/>
      </w:pPr>
      <w:r>
        <w:rPr>
          <w:sz w:val="22"/>
        </w:rPr>
        <w:t>• Matriz de riesgos (R-02, R-06, R-12)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EEE903-694A-48D1-B46C-89ACC3066405}"/>
</file>

<file path=customXml/itemProps3.xml><?xml version="1.0" encoding="utf-8"?>
<ds:datastoreItem xmlns:ds="http://schemas.openxmlformats.org/officeDocument/2006/customXml" ds:itemID="{B8EA3171-15DF-4BB0-B518-CCF5E026F8BF}"/>
</file>

<file path=customXml/itemProps4.xml><?xml version="1.0" encoding="utf-8"?>
<ds:datastoreItem xmlns:ds="http://schemas.openxmlformats.org/officeDocument/2006/customXml" ds:itemID="{0B1376F5-D131-4C44-AF88-CC1B68FC32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