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POLÍTICAS DE SEGURIDAD DEL SISTEMA DE GESTIÓN DE SEGURIDAD DE LA INFORMACIÓN</w:t>
      </w:r>
    </w:p>
    <w:p>
      <w:pPr>
        <w:pStyle w:val="BodyText"/>
      </w:pPr>
      <w:r>
        <w:rPr>
          <w:b/>
          <w:bCs/>
        </w:rPr>
        <w:t xml:space="preserve">NovaRetail SpA</w:t>
      </w:r>
    </w:p>
    <w:tbl>
      <w:tblPr>
        <w:tblStyle w:val="Table"/>
        <w:tblW w:type="pct" w:w="4867"/>
        <w:tblLayout w:type="fixed"/>
        <w:tblLook w:firstRow="1" w:lastRow="0" w:firstColumn="0" w:lastColumn="0" w:noHBand="0" w:noVBand="0" w:val="0020"/>
      </w:tblPr>
      <w:tblGrid>
        <w:gridCol w:w="2956"/>
        <w:gridCol w:w="4752"/>
      </w:tblGrid>
      <w:tr>
        <w:trPr>
          <w:tblHeader w:val="on"/>
        </w:trPr>
        <w:tc>
          <w:tcPr/>
          <w:p>
            <w:pPr>
              <w:pStyle w:val="Compact"/>
              <w:jc w:val="left"/>
            </w:pPr>
            <w:r>
              <w:rPr>
                <w:b/>
                <w:bCs/>
              </w:rPr>
              <w:t xml:space="preserve">Actividad práctica</w:t>
            </w:r>
          </w:p>
        </w:tc>
        <w:tc>
          <w:tcPr/>
          <w:p>
            <w:pPr>
              <w:pStyle w:val="Compact"/>
              <w:jc w:val="left"/>
            </w:pPr>
            <w:r>
              <w:t xml:space="preserve">Gobernanza e Implementación de un SGSI</w:t>
            </w:r>
          </w:p>
        </w:tc>
      </w:tr>
      <w:tr>
        <w:tc>
          <w:tcPr/>
          <w:p>
            <w:pPr>
              <w:pStyle w:val="Compact"/>
              <w:jc w:val="left"/>
            </w:pPr>
            <w:r>
              <w:rPr>
                <w:b/>
                <w:bCs/>
              </w:rPr>
              <w:t xml:space="preserve">Asignatura</w:t>
            </w:r>
          </w:p>
        </w:tc>
        <w:tc>
          <w:tcPr/>
          <w:p>
            <w:pPr>
              <w:pStyle w:val="Compact"/>
              <w:jc w:val="left"/>
            </w:pPr>
            <w:r>
              <w:t xml:space="preserve">Gestión de la Ciberseguridad</w:t>
            </w:r>
          </w:p>
        </w:tc>
      </w:tr>
      <w:tr>
        <w:tc>
          <w:tcPr/>
          <w:p>
            <w:pPr>
              <w:pStyle w:val="Compact"/>
              <w:jc w:val="left"/>
            </w:pPr>
            <w:r>
              <w:rPr>
                <w:b/>
                <w:bCs/>
              </w:rPr>
              <w:t xml:space="preserve">Integrantes del grupo</w:t>
            </w:r>
          </w:p>
        </w:tc>
        <w:tc>
          <w:tcPr/>
          <w:p>
            <w:pPr>
              <w:pStyle w:val="Compact"/>
              <w:jc w:val="left"/>
            </w:pPr>
            <w:r>
              <w:t xml:space="preserve">Sergio Cubelli</w:t>
            </w:r>
            <w:r>
              <w:br/>
            </w:r>
            <w:r>
              <w:t xml:space="preserve">Savka Carvajal</w:t>
            </w:r>
            <w:r>
              <w:br/>
            </w:r>
            <w:r>
              <w:t xml:space="preserve">Joaquín Zambra</w:t>
            </w:r>
            <w:r>
              <w:br/>
            </w:r>
            <w:r>
              <w:t xml:space="preserve">Alejandro Tapia</w:t>
            </w:r>
            <w:r>
              <w:br/>
            </w:r>
            <w:r>
              <w:t xml:space="preserve">Filippo Moreno</w:t>
            </w:r>
          </w:p>
        </w:tc>
      </w:tr>
      <w:tr>
        <w:tc>
          <w:tcPr/>
          <w:p>
            <w:pPr>
              <w:pStyle w:val="Compact"/>
              <w:jc w:val="left"/>
            </w:pPr>
            <w:r>
              <w:rPr>
                <w:b/>
                <w:bCs/>
              </w:rPr>
              <w:t xml:space="preserve">Código del conjunto</w:t>
            </w:r>
          </w:p>
        </w:tc>
        <w:tc>
          <w:tcPr/>
          <w:p>
            <w:pPr>
              <w:pStyle w:val="Compact"/>
              <w:jc w:val="left"/>
            </w:pPr>
            <w:r>
              <w:t xml:space="preserve">POL-SGSI-01 a POL-SGSI-16</w:t>
            </w:r>
          </w:p>
        </w:tc>
      </w:tr>
      <w:tr>
        <w:tc>
          <w:tcPr/>
          <w:p>
            <w:pPr>
              <w:pStyle w:val="Compact"/>
              <w:jc w:val="left"/>
            </w:pPr>
            <w:r>
              <w:rPr>
                <w:b/>
                <w:bCs/>
              </w:rPr>
              <w:t xml:space="preserve">Fecha de emisión</w:t>
            </w:r>
          </w:p>
        </w:tc>
        <w:tc>
          <w:tcPr/>
          <w:p>
            <w:pPr>
              <w:pStyle w:val="Compact"/>
              <w:jc w:val="left"/>
            </w:pPr>
            <w:r>
              <w:t xml:space="preserve">22-04-2026</w:t>
            </w:r>
          </w:p>
        </w:tc>
      </w:tr>
      <w:tr>
        <w:tc>
          <w:tcPr/>
          <w:p>
            <w:pPr>
              <w:pStyle w:val="Compact"/>
              <w:jc w:val="left"/>
            </w:pPr>
            <w:r>
              <w:rPr>
                <w:b/>
                <w:bCs/>
              </w:rPr>
              <w:t xml:space="preserve">Versión</w:t>
            </w:r>
          </w:p>
        </w:tc>
        <w:tc>
          <w:tcPr/>
          <w:p>
            <w:pPr>
              <w:pStyle w:val="Compact"/>
              <w:jc w:val="left"/>
            </w:pPr>
            <w:r>
              <w:t xml:space="preserve">1.0</w:t>
            </w:r>
          </w:p>
        </w:tc>
      </w:tr>
      <w:tr>
        <w:tc>
          <w:tcPr/>
          <w:p>
            <w:pPr>
              <w:pStyle w:val="Compact"/>
              <w:jc w:val="left"/>
            </w:pPr>
            <w:r>
              <w:rPr>
                <w:b/>
                <w:bCs/>
              </w:rPr>
              <w:t xml:space="preserve">Estado</w:t>
            </w:r>
          </w:p>
        </w:tc>
        <w:tc>
          <w:tcPr/>
          <w:p>
            <w:pPr>
              <w:pStyle w:val="Compact"/>
              <w:jc w:val="left"/>
            </w:pPr>
            <w:r>
              <w:t xml:space="preserve">Aprobado</w:t>
            </w:r>
          </w:p>
        </w:tc>
      </w:tr>
      <w:tr>
        <w:tc>
          <w:tcPr/>
          <w:p>
            <w:pPr>
              <w:pStyle w:val="Compact"/>
              <w:jc w:val="left"/>
            </w:pPr>
            <w:r>
              <w:rPr>
                <w:b/>
                <w:bCs/>
              </w:rPr>
              <w:t xml:space="preserve">Clasificación</w:t>
            </w:r>
          </w:p>
        </w:tc>
        <w:tc>
          <w:tcPr/>
          <w:p>
            <w:pPr>
              <w:pStyle w:val="Compact"/>
              <w:jc w:val="left"/>
            </w:pPr>
            <w:r>
              <w:t xml:space="preserve">Interno</w:t>
            </w:r>
          </w:p>
        </w:tc>
      </w:tr>
    </w:tbl>
    <w:p>
      <w:pPr>
        <w:pStyle w:val="BodyText"/>
      </w:pPr>
      <w:r>
        <w:rPr>
          <w:b/>
          <w:bCs/>
        </w:rPr>
        <w:t xml:space="preserve">POL-SGSI-16 — Política de suplencia del CISO</w:t>
      </w:r>
    </w:p>
    <w:p>
      <w:pPr>
        <w:pStyle w:val="BodyText"/>
      </w:pPr>
      <w:r>
        <w:rPr>
          <w:i/>
          <w:iCs/>
        </w:rPr>
        <w:t xml:space="preserve">Política de seguridad del SGSI de NovaRetail SpA.</w:t>
      </w:r>
    </w:p>
    <w:p>
      <w:pPr>
        <w:pStyle w:val="BodyText"/>
      </w:pPr>
      <w:r>
        <w:rPr>
          <w:b/>
          <w:bCs/>
        </w:rPr>
        <w:t xml:space="preserve">1. Control documental</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Código</w:t>
            </w:r>
          </w:p>
        </w:tc>
        <w:tc>
          <w:tcPr/>
          <w:p>
            <w:pPr>
              <w:pStyle w:val="Compact"/>
              <w:jc w:val="left"/>
            </w:pPr>
            <w:r>
              <w:t xml:space="preserve">POL-SGSI-16</w:t>
            </w:r>
          </w:p>
        </w:tc>
      </w:tr>
      <w:tr>
        <w:tc>
          <w:tcPr/>
          <w:p>
            <w:pPr>
              <w:pStyle w:val="Compact"/>
              <w:jc w:val="left"/>
            </w:pPr>
            <w:r>
              <w:rPr>
                <w:b/>
                <w:bCs/>
              </w:rPr>
              <w:t xml:space="preserve">Versión</w:t>
            </w:r>
          </w:p>
        </w:tc>
        <w:tc>
          <w:tcPr/>
          <w:p>
            <w:pPr>
              <w:pStyle w:val="Compact"/>
              <w:jc w:val="left"/>
            </w:pPr>
            <w:r>
              <w:t xml:space="preserve">1.0</w:t>
            </w:r>
          </w:p>
        </w:tc>
      </w:tr>
      <w:tr>
        <w:tc>
          <w:tcPr/>
          <w:p>
            <w:pPr>
              <w:pStyle w:val="Compact"/>
              <w:jc w:val="left"/>
            </w:pPr>
            <w:r>
              <w:rPr>
                <w:b/>
                <w:bCs/>
              </w:rPr>
              <w:t xml:space="preserve">Fecha de emisión</w:t>
            </w:r>
          </w:p>
        </w:tc>
        <w:tc>
          <w:tcPr/>
          <w:p>
            <w:pPr>
              <w:pStyle w:val="Compact"/>
              <w:jc w:val="left"/>
            </w:pPr>
            <w:r>
              <w:t xml:space="preserve">22-04-2026</w:t>
            </w:r>
          </w:p>
        </w:tc>
      </w:tr>
      <w:tr>
        <w:tc>
          <w:tcPr/>
          <w:p>
            <w:pPr>
              <w:pStyle w:val="Compact"/>
              <w:jc w:val="left"/>
            </w:pPr>
            <w:r>
              <w:rPr>
                <w:b/>
                <w:bCs/>
              </w:rPr>
              <w:t xml:space="preserve">Clasificación</w:t>
            </w:r>
          </w:p>
        </w:tc>
        <w:tc>
          <w:tcPr/>
          <w:p>
            <w:pPr>
              <w:pStyle w:val="Compact"/>
              <w:jc w:val="left"/>
            </w:pPr>
            <w:r>
              <w:t xml:space="preserve">Interno</w:t>
            </w:r>
          </w:p>
        </w:tc>
      </w:tr>
      <w:tr>
        <w:tc>
          <w:tcPr/>
          <w:p>
            <w:pPr>
              <w:pStyle w:val="Compact"/>
              <w:jc w:val="left"/>
            </w:pPr>
            <w:r>
              <w:rPr>
                <w:b/>
                <w:bCs/>
              </w:rPr>
              <w:t xml:space="preserve">Elaborado por</w:t>
            </w:r>
          </w:p>
        </w:tc>
        <w:tc>
          <w:tcPr/>
          <w:p>
            <w:pPr>
              <w:pStyle w:val="Compact"/>
              <w:jc w:val="left"/>
            </w:pPr>
            <w:r>
              <w:t xml:space="preserve">Equipo SGSI NovaRetail</w:t>
            </w:r>
          </w:p>
        </w:tc>
      </w:tr>
      <w:tr>
        <w:tc>
          <w:tcPr/>
          <w:p>
            <w:pPr>
              <w:pStyle w:val="Compact"/>
              <w:jc w:val="left"/>
            </w:pPr>
            <w:r>
              <w:rPr>
                <w:b/>
                <w:bCs/>
              </w:rPr>
              <w:t xml:space="preserve">Revisado por</w:t>
            </w:r>
          </w:p>
        </w:tc>
        <w:tc>
          <w:tcPr/>
          <w:p>
            <w:pPr>
              <w:pStyle w:val="Compact"/>
              <w:jc w:val="left"/>
            </w:pPr>
            <w:r>
              <w:t xml:space="preserve">Comité SGSI</w:t>
            </w:r>
          </w:p>
        </w:tc>
      </w:tr>
      <w:tr>
        <w:tc>
          <w:tcPr/>
          <w:p>
            <w:pPr>
              <w:pStyle w:val="Compact"/>
              <w:jc w:val="left"/>
            </w:pPr>
            <w:r>
              <w:rPr>
                <w:b/>
                <w:bCs/>
              </w:rPr>
              <w:t xml:space="preserve">Aprobado por</w:t>
            </w:r>
          </w:p>
        </w:tc>
        <w:tc>
          <w:tcPr/>
          <w:p>
            <w:pPr>
              <w:pStyle w:val="Compact"/>
              <w:jc w:val="left"/>
            </w:pPr>
            <w:r>
              <w:t xml:space="preserve">Gerencia General</w:t>
            </w:r>
          </w:p>
        </w:tc>
      </w:tr>
      <w:tr>
        <w:tc>
          <w:tcPr/>
          <w:p>
            <w:pPr>
              <w:pStyle w:val="Compact"/>
              <w:jc w:val="left"/>
            </w:pPr>
            <w:r>
              <w:rPr>
                <w:b/>
                <w:bCs/>
              </w:rPr>
              <w:t xml:space="preserve">Próxima revisión</w:t>
            </w:r>
          </w:p>
        </w:tc>
        <w:tc>
          <w:tcPr/>
          <w:p>
            <w:pPr>
              <w:pStyle w:val="Compact"/>
              <w:jc w:val="left"/>
            </w:pPr>
            <w:r>
              <w:t xml:space="preserve">22-04-2027</w:t>
            </w:r>
          </w:p>
        </w:tc>
      </w:tr>
    </w:tbl>
    <w:p>
      <w:pPr>
        <w:pStyle w:val="BodyText"/>
      </w:pPr>
      <w:r>
        <w:rPr>
          <w:b/>
          <w:bCs/>
        </w:rPr>
        <w:t xml:space="preserve">2. Objetivo</w:t>
      </w:r>
    </w:p>
    <w:p>
      <w:pPr>
        <w:pStyle w:val="BodyText"/>
      </w:pPr>
      <w:r>
        <w:t xml:space="preserve">Garantizar la continuidad operativa del Sistema de Gestión de Seguridad de la Información (SGSI) ante la ausencia temporal o imposibilidad de ejercicio del CISO, estableciendo la figura del CISO Suplente, sus condiciones de activación, alcance de autoridad, limitaciones y el proceso formal de transferencia y devolución del cargo, en cumplimiento de los requisitos de liderazgo y compromiso de la alta dirección definidos en la norma ISO/IEC 27001:2022.</w:t>
      </w:r>
    </w:p>
    <w:p>
      <w:pPr>
        <w:pStyle w:val="BodyText"/>
      </w:pPr>
      <w:r>
        <w:rPr>
          <w:b/>
          <w:bCs/>
        </w:rPr>
        <w:t xml:space="preserve">3. Alcance</w:t>
      </w:r>
    </w:p>
    <w:p>
      <w:pPr>
        <w:pStyle w:val="BodyText"/>
      </w:pPr>
      <w:r>
        <w:t xml:space="preserve">Aplica a toda circunstancia que impida al CISO titular ejercer sus funciones por un período igual o superior a 24 horas, incluyendo ausencia programada (vacaciones, licencia médica, capacitación), ausencia imprevista (enfermedad repentina, fuerza mayor), incompatibilidad sobreviniente (conflicto de interés en un incidente o auditoría donde el CISO esté directamente implicado) e imposibilidad de participar en sesiones del Comité SGSI o en la notificación de incidentes a la ANCI. Alcanza a todas las responsabilidades del CISO definidas en el Acta de Nombramiento (GOB-SGSI-03) y en la Matriz RACI (GOB-SGSI-04).</w:t>
      </w:r>
    </w:p>
    <w:p>
      <w:pPr>
        <w:pStyle w:val="BodyText"/>
      </w:pPr>
      <w:r>
        <w:rPr>
          <w:b/>
          <w:bCs/>
        </w:rPr>
        <w:t xml:space="preserve">4. Roles y responsabilidades</w:t>
      </w:r>
    </w:p>
    <w:tbl>
      <w:tblPr>
        <w:tblStyle w:val="Table"/>
        <w:tblW w:type="pct" w:w="4951"/>
        <w:tblLayout w:type="fixed"/>
        <w:tblLook w:firstRow="1" w:lastRow="0" w:firstColumn="0" w:lastColumn="0" w:noHBand="0" w:noVBand="0" w:val="0020"/>
      </w:tblPr>
      <w:tblGrid>
        <w:gridCol w:w="1560"/>
        <w:gridCol w:w="6281"/>
      </w:tblGrid>
      <w:tr>
        <w:trPr>
          <w:tblHeader w:val="on"/>
        </w:trPr>
        <w:tc>
          <w:tcPr/>
          <w:p>
            <w:pPr>
              <w:pStyle w:val="Compact"/>
              <w:jc w:val="left"/>
            </w:pPr>
            <w:r>
              <w:rPr>
                <w:b/>
                <w:bCs/>
              </w:rPr>
              <w:t xml:space="preserve">Gerencia General</w:t>
            </w:r>
          </w:p>
        </w:tc>
        <w:tc>
          <w:tcPr/>
          <w:p>
            <w:pPr>
              <w:pStyle w:val="Compact"/>
              <w:jc w:val="left"/>
            </w:pPr>
            <w:r>
              <w:t xml:space="preserve">Designa formalmente al CISO Suplente mediante el acta de nombramiento correspondiente. Aprueba la activación de la suplencia y cualquier decisión excepcional</w:t>
            </w:r>
            <w:r>
              <w:t xml:space="preserve"> </w:t>
            </w:r>
            <w:r>
              <w:t xml:space="preserve">que exceda las facultades ordinarias del suplente.</w:t>
            </w:r>
          </w:p>
        </w:tc>
      </w:tr>
      <w:tr>
        <w:tc>
          <w:tcPr/>
          <w:p>
            <w:pPr>
              <w:pStyle w:val="Compact"/>
              <w:jc w:val="left"/>
            </w:pPr>
            <w:r>
              <w:rPr>
                <w:b/>
                <w:bCs/>
              </w:rPr>
              <w:t xml:space="preserve">CISO titular</w:t>
            </w:r>
          </w:p>
        </w:tc>
        <w:tc>
          <w:tcPr/>
          <w:p>
            <w:pPr>
              <w:pStyle w:val="Compact"/>
              <w:jc w:val="left"/>
            </w:pPr>
            <w:r>
              <w:t xml:space="preserve">Notifica con la mayor anticipación posible cualquier ausencia prevista. Prepara y entrega al suplente un resumen de estado del SGSI (riesgos abiertos,</w:t>
            </w:r>
            <w:r>
              <w:t xml:space="preserve"> </w:t>
            </w:r>
            <w:r>
              <w:t xml:space="preserve">incidentes activos, decisiones pendientes). Mantiene disponible un canal de contacto para consultas críticas, salvo imposibilidad absoluta.</w:t>
            </w:r>
          </w:p>
        </w:tc>
      </w:tr>
      <w:tr>
        <w:tc>
          <w:tcPr/>
          <w:p>
            <w:pPr>
              <w:pStyle w:val="Compact"/>
              <w:jc w:val="left"/>
            </w:pPr>
            <w:r>
              <w:rPr>
                <w:b/>
                <w:bCs/>
              </w:rPr>
              <w:t xml:space="preserve">CISO Suplente (Jefe TI)</w:t>
            </w:r>
          </w:p>
        </w:tc>
        <w:tc>
          <w:tcPr/>
          <w:p>
            <w:pPr>
              <w:pStyle w:val="Compact"/>
              <w:jc w:val="left"/>
            </w:pPr>
            <w:r>
              <w:t xml:space="preserve">Asume las funciones del CISO durante el período de suplencia conforme a esta política. Ejerce la autoridad delegada dentro de los límites aquí definidos.</w:t>
            </w:r>
            <w:r>
              <w:t xml:space="preserve"> </w:t>
            </w:r>
            <w:r>
              <w:t xml:space="preserve">Rinde cuentas al Comité SGSI y a la Gerencia General por las decisiones adoptadas durante la suplencia.</w:t>
            </w:r>
          </w:p>
        </w:tc>
      </w:tr>
      <w:tr>
        <w:tc>
          <w:tcPr/>
          <w:p>
            <w:pPr>
              <w:pStyle w:val="Compact"/>
              <w:jc w:val="left"/>
            </w:pPr>
            <w:r>
              <w:rPr>
                <w:b/>
                <w:bCs/>
              </w:rPr>
              <w:t xml:space="preserve">Comité SGSI</w:t>
            </w:r>
          </w:p>
        </w:tc>
        <w:tc>
          <w:tcPr/>
          <w:p>
            <w:pPr>
              <w:pStyle w:val="Compact"/>
              <w:jc w:val="left"/>
            </w:pPr>
            <w:r>
              <w:t xml:space="preserve">Recibe la notificación de activación de la suplencia. Supervisa las decisiones del suplente durante el período y puede convocar sesión extraordinaria si la</w:t>
            </w:r>
            <w:r>
              <w:t xml:space="preserve"> </w:t>
            </w:r>
            <w:r>
              <w:t xml:space="preserve">situación lo amerita.</w:t>
            </w:r>
          </w:p>
        </w:tc>
      </w:tr>
      <w:tr>
        <w:tc>
          <w:tcPr/>
          <w:p>
            <w:pPr>
              <w:pStyle w:val="Compact"/>
              <w:jc w:val="left"/>
            </w:pPr>
            <w:r>
              <w:rPr>
                <w:b/>
                <w:bCs/>
              </w:rPr>
              <w:t xml:space="preserve">Recursos Humanos</w:t>
            </w:r>
          </w:p>
        </w:tc>
        <w:tc>
          <w:tcPr/>
          <w:p>
            <w:pPr>
              <w:pStyle w:val="Compact"/>
              <w:jc w:val="left"/>
            </w:pPr>
            <w:r>
              <w:t xml:space="preserve">Mantiene actualizado el registro del CISO Suplente designado y notifica cualquier cambio en la situación laboral del Jefe TI que afecte su elegibilidad.</w:t>
            </w:r>
          </w:p>
        </w:tc>
      </w:tr>
    </w:tbl>
    <w:p>
      <w:pPr>
        <w:pStyle w:val="BodyText"/>
      </w:pPr>
      <w:r>
        <w:rPr>
          <w:b/>
          <w:bCs/>
        </w:rPr>
        <w:t xml:space="preserve">5. Lineamientos de la política</w:t>
      </w:r>
    </w:p>
    <w:p>
      <w:pPr>
        <w:pStyle w:val="BodyText"/>
      </w:pPr>
      <w:r>
        <w:rPr>
          <w:b/>
          <w:bCs/>
        </w:rPr>
        <w:t xml:space="preserve">5.1 Designación del CISO Suplente</w:t>
      </w:r>
    </w:p>
    <w:p>
      <w:pPr>
        <w:pStyle w:val="BodyText"/>
      </w:pPr>
      <w:r>
        <w:t xml:space="preserve">• El Jefe de TI (Gerencia / Infraestructura TI) es, por defecto, el CISO Suplente de NovaRetail SpA.</w:t>
      </w:r>
    </w:p>
    <w:p>
      <w:pPr>
        <w:pStyle w:val="BodyText"/>
      </w:pPr>
      <w:r>
        <w:t xml:space="preserve">• La designación se formaliza mediante un acta firmada por la Gerencia General y el propio Jefe TI, en la que consta la aceptación expresa del cargo suplente y el conocimiento de las responsabilidades que conlleva.</w:t>
      </w:r>
    </w:p>
    <w:p>
      <w:pPr>
        <w:pStyle w:val="BodyText"/>
      </w:pPr>
      <w:r>
        <w:t xml:space="preserve">• El CISO Suplente debe cumplir los mismos requisitos de competencia, independencia y confidencialidad exigidos al CISO titular.</w:t>
      </w:r>
    </w:p>
    <w:p>
      <w:pPr>
        <w:pStyle w:val="BodyText"/>
      </w:pPr>
      <w:r>
        <w:t xml:space="preserve">• La designación se revisa anualmente o ante cualquier cambio en la estructura organizacional. Si el Jefe TI no puede asumir la suplencia, la Gerencia General designa a otro miembro del Comité SGSI con competencias equivalentes.</w:t>
      </w:r>
    </w:p>
    <w:p>
      <w:pPr>
        <w:pStyle w:val="BodyText"/>
      </w:pPr>
      <w:r>
        <w:rPr>
          <w:b/>
          <w:bCs/>
        </w:rPr>
        <w:t xml:space="preserve">5.2 Causales de activación de la suplencia</w:t>
      </w:r>
    </w:p>
    <w:p>
      <w:pPr>
        <w:pStyle w:val="BodyText"/>
      </w:pPr>
      <w:r>
        <w:t xml:space="preserve">La suplencia se activa en los siguientes casos:</w:t>
      </w:r>
    </w:p>
    <w:p>
      <w:pPr>
        <w:pStyle w:val="BodyText"/>
      </w:pPr>
      <w:r>
        <w:t xml:space="preserve">•</w:t>
      </w:r>
      <w:r>
        <w:t xml:space="preserve"> </w:t>
      </w:r>
      <w:r>
        <w:rPr>
          <w:b/>
          <w:bCs/>
        </w:rPr>
        <w:t xml:space="preserve">Ausencia programada:</w:t>
      </w:r>
      <w:r>
        <w:t xml:space="preserve"> </w:t>
      </w:r>
      <w:r>
        <w:t xml:space="preserve">vacaciones, licencia médica, capacitación o comisión de servicio que impida al CISO ejercer sus funciones por 24 horas o más.</w:t>
      </w:r>
    </w:p>
    <w:p>
      <w:pPr>
        <w:pStyle w:val="BodyText"/>
      </w:pPr>
      <w:r>
        <w:t xml:space="preserve">•</w:t>
      </w:r>
      <w:r>
        <w:t xml:space="preserve"> </w:t>
      </w:r>
      <w:r>
        <w:rPr>
          <w:b/>
          <w:bCs/>
        </w:rPr>
        <w:t xml:space="preserve">Ausencia imprevista:</w:t>
      </w:r>
      <w:r>
        <w:t xml:space="preserve"> </w:t>
      </w:r>
      <w:r>
        <w:t xml:space="preserve">enfermedad repentina, accidente, fuerza mayor o cualquier circunstancia que imposibilite al CISO desempeñar sus funciones sin previo aviso.</w:t>
      </w:r>
    </w:p>
    <w:p>
      <w:pPr>
        <w:pStyle w:val="BodyText"/>
      </w:pPr>
      <w:r>
        <w:t xml:space="preserve">•</w:t>
      </w:r>
      <w:r>
        <w:t xml:space="preserve"> </w:t>
      </w:r>
      <w:r>
        <w:rPr>
          <w:b/>
          <w:bCs/>
        </w:rPr>
        <w:t xml:space="preserve">Incompatibilidad o conflicto de interés:</w:t>
      </w:r>
      <w:r>
        <w:t xml:space="preserve"> </w:t>
      </w:r>
      <w:r>
        <w:t xml:space="preserve">cuando el CISO titular esté directa o indirectamente implicado en un incidente de seguridad bajo investigación, en una auditoría interna o en una no conformidad que requiera su propia evaluación. En este caso, la suplencia se limita al ámbito específico del conflicto.</w:t>
      </w:r>
    </w:p>
    <w:p>
      <w:pPr>
        <w:pStyle w:val="BodyText"/>
      </w:pPr>
      <w:r>
        <w:t xml:space="preserve">•</w:t>
      </w:r>
      <w:r>
        <w:t xml:space="preserve"> </w:t>
      </w:r>
      <w:r>
        <w:rPr>
          <w:b/>
          <w:bCs/>
        </w:rPr>
        <w:t xml:space="preserve">Imposibilidad de atender sesiones críticas:</w:t>
      </w:r>
      <w:r>
        <w:t xml:space="preserve"> </w:t>
      </w:r>
      <w:r>
        <w:t xml:space="preserve">cuando el CISO no pueda asistir a una sesión del Comité SGSI en la que deban tratarse decisiones urgentes (incidente N3, aprobación de excepción de riesgo, revisión extraordinaria), la suplencia se activa exclusivamente para dicha sesión.</w:t>
      </w:r>
    </w:p>
    <w:p>
      <w:pPr>
        <w:pStyle w:val="BodyText"/>
      </w:pPr>
      <w:r>
        <w:t xml:space="preserve">•</w:t>
      </w:r>
      <w:r>
        <w:t xml:space="preserve"> </w:t>
      </w:r>
      <w:r>
        <w:rPr>
          <w:b/>
          <w:bCs/>
        </w:rPr>
        <w:t xml:space="preserve">Vacancia del cargo:</w:t>
      </w:r>
      <w:r>
        <w:t xml:space="preserve"> </w:t>
      </w:r>
      <w:r>
        <w:t xml:space="preserve">en caso de renuncia, desvinculación o fallecimiento del CISO titular, la suplencia se activa de inmediato y se mantiene hasta el nombramiento de un nuevo CISO titular, que deberá producirse en un plazo máximo de 30 días corridos.</w:t>
      </w:r>
    </w:p>
    <w:p>
      <w:pPr>
        <w:pStyle w:val="BodyText"/>
      </w:pPr>
      <w:r>
        <w:rPr>
          <w:b/>
          <w:bCs/>
        </w:rPr>
        <w:t xml:space="preserve">5.3 Alcance de la autoridad delegada</w:t>
      </w:r>
    </w:p>
    <w:p>
      <w:pPr>
        <w:pStyle w:val="BodyText"/>
      </w:pPr>
      <w:r>
        <w:t xml:space="preserve">Durante la suplencia, el CISO Suplente ejerce las siguientes facultades:</w:t>
      </w:r>
    </w:p>
    <w:p>
      <w:pPr>
        <w:pStyle w:val="BodyText"/>
      </w:pPr>
      <w:r>
        <w:t xml:space="preserve">• Convocar y presidir el Comité SGSI en calidad de secretario ejecutivo interino.</w:t>
      </w:r>
    </w:p>
    <w:p>
      <w:pPr>
        <w:pStyle w:val="BodyText"/>
      </w:pPr>
      <w:r>
        <w:t xml:space="preserve">• Autorizar la activación del plan de respuesta a incidentes y la notificación temprana a la ANCI (Ley 21.663).</w:t>
      </w:r>
    </w:p>
    <w:p>
      <w:pPr>
        <w:pStyle w:val="BodyText"/>
      </w:pPr>
      <w:r>
        <w:t xml:space="preserve">• Aprobar altas, modificaciones y bajas de accesos con privilegios elevados.</w:t>
      </w:r>
    </w:p>
    <w:p>
      <w:pPr>
        <w:pStyle w:val="BodyText"/>
      </w:pPr>
      <w:r>
        <w:t xml:space="preserve">• Autorizar excepciones temporales a políticas de seguridad, con controles compensatorios documentados.</w:t>
      </w:r>
    </w:p>
    <w:p>
      <w:pPr>
        <w:pStyle w:val="BodyText"/>
      </w:pPr>
      <w:r>
        <w:t xml:space="preserve">• Aprobar reglas de firewall de emergencia y cambios urgentes con impacto en seguridad.</w:t>
      </w:r>
    </w:p>
    <w:p>
      <w:pPr>
        <w:pStyle w:val="BodyText"/>
      </w:pPr>
      <w:r>
        <w:t xml:space="preserve">• Firmar los informes periódicos de monitoreo, revisión de accesos y cumplimiento de SLA de parches.</w:t>
      </w:r>
    </w:p>
    <w:p>
      <w:pPr>
        <w:pStyle w:val="BodyText"/>
      </w:pPr>
      <w:r>
        <w:t xml:space="preserve">• Representar a NovaRetail SpA ante la ANCI y el CSIRT Nacional en materias de ciberseguridad.</w:t>
      </w:r>
    </w:p>
    <w:p>
      <w:pPr>
        <w:pStyle w:val="BodyText"/>
      </w:pPr>
      <w:r>
        <w:rPr>
          <w:b/>
          <w:bCs/>
        </w:rPr>
        <w:t xml:space="preserve">5.4 Limitaciones del CISO Suplente</w:t>
      </w:r>
    </w:p>
    <w:p>
      <w:pPr>
        <w:pStyle w:val="BodyText"/>
      </w:pPr>
      <w:r>
        <w:t xml:space="preserve">El CISO Suplente NO puede, sin aprobación expresa de la Gerencia General o del Comité SGSI:</w:t>
      </w:r>
    </w:p>
    <w:p>
      <w:pPr>
        <w:pStyle w:val="BodyText"/>
      </w:pPr>
      <w:r>
        <w:t xml:space="preserve">• Modificar el alcance del SGSI.</w:t>
      </w:r>
    </w:p>
    <w:p>
      <w:pPr>
        <w:pStyle w:val="BodyText"/>
      </w:pPr>
      <w:r>
        <w:t xml:space="preserve">• Aprobar una nueva versión de la Política General de Seguridad.</w:t>
      </w:r>
    </w:p>
    <w:p>
      <w:pPr>
        <w:pStyle w:val="BodyText"/>
      </w:pPr>
      <w:r>
        <w:t xml:space="preserve">• Aceptar un riesgo residual crítico (≥15) o alto (10–14) de forma permanente.</w:t>
      </w:r>
    </w:p>
    <w:p>
      <w:pPr>
        <w:pStyle w:val="BodyText"/>
      </w:pPr>
      <w:r>
        <w:t xml:space="preserve">• Aprobar la contratación o desvinculación de personal del equipo de seguridad.</w:t>
      </w:r>
    </w:p>
    <w:p>
      <w:pPr>
        <w:pStyle w:val="BodyText"/>
      </w:pPr>
      <w:r>
        <w:t xml:space="preserve">• Modificar la Matriz RACI o la estructura del Comité SGSI.</w:t>
      </w:r>
    </w:p>
    <w:p>
      <w:pPr>
        <w:pStyle w:val="BodyText"/>
      </w:pPr>
      <w:r>
        <w:t xml:space="preserve">• Firmar contratos con proveedores clasificados como críticos u OIV.</w:t>
      </w:r>
    </w:p>
    <w:p>
      <w:pPr>
        <w:pStyle w:val="BodyText"/>
      </w:pPr>
      <w:r>
        <w:t xml:space="preserve">• Autorizar un presupuesto extraordinario que exceda el 10 % del presupuesto anual de seguridad.</w:t>
      </w:r>
    </w:p>
    <w:p>
      <w:pPr>
        <w:pStyle w:val="BodyText"/>
      </w:pPr>
      <w:r>
        <w:rPr>
          <w:b/>
          <w:bCs/>
        </w:rPr>
        <w:t xml:space="preserve">5.5 Proceso de activación</w:t>
      </w:r>
    </w:p>
    <w:p>
      <w:pPr>
        <w:pStyle w:val="BodyText"/>
      </w:pPr>
      <w:r>
        <w:t xml:space="preserve">•</w:t>
      </w:r>
      <w:r>
        <w:t xml:space="preserve"> </w:t>
      </w:r>
      <w:r>
        <w:rPr>
          <w:b/>
          <w:bCs/>
        </w:rPr>
        <w:t xml:space="preserve">Ausencia programada:</w:t>
      </w:r>
      <w:r>
        <w:t xml:space="preserve"> </w:t>
      </w:r>
      <w:r>
        <w:t xml:space="preserve">el CISO titular notifica por escrito a la Gerencia General, al Comité SGSI y al Jefe TI con al menos 5 días hábiles de anticipación, indicando fechas de inicio y término de la suplencia, y entrega el resumen de estado del SGSI.</w:t>
      </w:r>
    </w:p>
    <w:p>
      <w:pPr>
        <w:pStyle w:val="BodyText"/>
      </w:pPr>
      <w:r>
        <w:t xml:space="preserve">•</w:t>
      </w:r>
      <w:r>
        <w:t xml:space="preserve"> </w:t>
      </w:r>
      <w:r>
        <w:rPr>
          <w:b/>
          <w:bCs/>
        </w:rPr>
        <w:t xml:space="preserve">Ausencia imprevista:</w:t>
      </w:r>
      <w:r>
        <w:t xml:space="preserve"> </w:t>
      </w:r>
      <w:r>
        <w:t xml:space="preserve">la Gerencia General, al tomar conocimiento de la imposibilidad del CISO, activa la suplencia de inmediato y notifica al Comité SGSI. Si transcurren 24 horas sin contacto con el CISO titular, la activación es automática.</w:t>
      </w:r>
    </w:p>
    <w:p>
      <w:pPr>
        <w:pStyle w:val="BodyText"/>
      </w:pPr>
      <w:r>
        <w:t xml:space="preserve">•</w:t>
      </w:r>
      <w:r>
        <w:t xml:space="preserve"> </w:t>
      </w:r>
      <w:r>
        <w:rPr>
          <w:b/>
          <w:bCs/>
        </w:rPr>
        <w:t xml:space="preserve">Conflicto de interés:</w:t>
      </w:r>
      <w:r>
        <w:t xml:space="preserve"> </w:t>
      </w:r>
      <w:r>
        <w:t xml:space="preserve">el propio CISO titular o cualquier miembro del Comité SGSI puede solicitar la activación parcial de la suplencia. La Gerencia General resuelve en un plazo máximo de 4 horas.</w:t>
      </w:r>
    </w:p>
    <w:p>
      <w:pPr>
        <w:pStyle w:val="BodyText"/>
      </w:pPr>
      <w:r>
        <w:t xml:space="preserve">•</w:t>
      </w:r>
      <w:r>
        <w:t xml:space="preserve"> </w:t>
      </w:r>
      <w:r>
        <w:rPr>
          <w:b/>
          <w:bCs/>
        </w:rPr>
        <w:t xml:space="preserve">Sesión del Comité:</w:t>
      </w:r>
      <w:r>
        <w:t xml:space="preserve"> </w:t>
      </w:r>
      <w:r>
        <w:t xml:space="preserve">el CISO notifica al Jefe TI con al menos 24 horas de anticipación. Para sesiones extraordinarias por incidente N3, la notificación es inmediata.</w:t>
      </w:r>
    </w:p>
    <w:p>
      <w:pPr>
        <w:pStyle w:val="BodyText"/>
      </w:pPr>
      <w:r>
        <w:rPr>
          <w:b/>
          <w:bCs/>
        </w:rPr>
        <w:t xml:space="preserve">5.6 Proceso de devolución del cargo</w:t>
      </w:r>
    </w:p>
    <w:p>
      <w:pPr>
        <w:pStyle w:val="BodyText"/>
      </w:pPr>
      <w:r>
        <w:t xml:space="preserve">Al cesar la causal que motivó la suplencia:</w:t>
      </w:r>
    </w:p>
    <w:p>
      <w:pPr>
        <w:pStyle w:val="BodyText"/>
      </w:pPr>
      <w:r>
        <w:t xml:space="preserve">• El CISO titular notifica su reincorporación a la Gerencia General y al Comité SGSI.</w:t>
      </w:r>
    </w:p>
    <w:p>
      <w:pPr>
        <w:pStyle w:val="BodyText"/>
      </w:pPr>
      <w:r>
        <w:t xml:space="preserve">• El CISO Suplente entrega un informe de gestión del período de suplencia, detallando todas las decisiones adoptadas, incidentes gestionados y excepciones autorizadas.</w:t>
      </w:r>
    </w:p>
    <w:p>
      <w:pPr>
        <w:pStyle w:val="BodyText"/>
      </w:pPr>
      <w:r>
        <w:t xml:space="preserve">• El CISO titular revisa el informe, valida las decisiones adoptadas y asume nuevamente la responsabilidad plena del cargo.</w:t>
      </w:r>
    </w:p>
    <w:p>
      <w:pPr>
        <w:pStyle w:val="BodyText"/>
      </w:pPr>
      <w:r>
        <w:t xml:space="preserve">• En caso de desacuerdo con alguna decisión del suplente, el CISO titular eleva el caso al Comité SGSI para su resolución en un plazo máximo de 5 días hábiles.</w:t>
      </w:r>
    </w:p>
    <w:p>
      <w:pPr>
        <w:pStyle w:val="BodyText"/>
      </w:pPr>
      <w:r>
        <w:t xml:space="preserve">• El informe de suplencia se archiva como evidencia del SGSI con una retención mínima de 3 años.</w:t>
      </w:r>
    </w:p>
    <w:p>
      <w:pPr>
        <w:pStyle w:val="BodyText"/>
      </w:pPr>
      <w:r>
        <w:rPr>
          <w:b/>
          <w:bCs/>
        </w:rPr>
        <w:t xml:space="preserve">5.7 Contacto de emergencia</w:t>
      </w:r>
    </w:p>
    <w:p>
      <w:pPr>
        <w:pStyle w:val="BodyText"/>
      </w:pPr>
      <w:r>
        <w:t xml:space="preserve">• El CISO titular mantiene actualizado un canal de contacto de emergencia (teléfono móvil, correo alternativo) para consultas críticas del suplente. Este canal solo se utiliza para decisiones que requieran el criterio del titular y que no puedan esperar a su regreso.</w:t>
      </w:r>
    </w:p>
    <w:p>
      <w:pPr>
        <w:pStyle w:val="BodyText"/>
      </w:pPr>
      <w:r>
        <w:t xml:space="preserve">• Si el CISO titular está absolutamente incomunicado (fuerza mayor, zona sin cobertura, estado de salud que impida la comunicación), el CISO Suplente actúa con plena autonomía dentro de los límites de esta política.</w:t>
      </w:r>
    </w:p>
    <w:p>
      <w:pPr>
        <w:pStyle w:val="BodyText"/>
      </w:pPr>
      <w:r>
        <w:rPr>
          <w:b/>
          <w:bCs/>
        </w:rPr>
        <w:t xml:space="preserve">6. Incumplimientos</w:t>
      </w:r>
    </w:p>
    <w:p>
      <w:pPr>
        <w:pStyle w:val="BodyText"/>
      </w:pPr>
      <w:r>
        <w:t xml:space="preserve">El incumplimiento de esta política —en particular la omisión de activar la suplencia cuando corresponde, la extralimitación de facultades por parte del suplente o la negativa injustificada a asumir el cargo suplente— será reportado al Comité SGSI y gestionado conforme al Procedimiento de Gestión de No Conformidades y Acciones Correctivas (GOB-SGSI-07). Podrá dar origen a medidas disciplinarias según el reglamento interno de NovaRetail SpA.</w:t>
      </w:r>
    </w:p>
    <w:p>
      <w:pPr>
        <w:pStyle w:val="BodyText"/>
      </w:pPr>
      <w:r>
        <w:rPr>
          <w:b/>
          <w:bCs/>
        </w:rPr>
        <w:t xml:space="preserve">7. Documentos relacionados</w:t>
      </w:r>
    </w:p>
    <w:p>
      <w:pPr>
        <w:pStyle w:val="BodyText"/>
      </w:pPr>
      <w:r>
        <w:rPr>
          <w:b/>
          <w:bCs/>
        </w:rPr>
        <w:t xml:space="preserve">Procedimiento(s) vinculado(s):</w:t>
      </w:r>
      <w:r>
        <w:t xml:space="preserve"> </w:t>
      </w:r>
      <w:hyperlink r:id="rId20">
        <w:r>
          <w:rPr>
            <w:rStyle w:val="Hyperlink"/>
            <w:u w:val="single"/>
          </w:rPr>
          <w:t xml:space="preserve">PROC-SGSI-19 — Procedimiento de activación y cese de suplencia del CISO</w:t>
        </w:r>
      </w:hyperlink>
    </w:p>
    <w:p>
      <w:pPr>
        <w:pStyle w:val="BodyText"/>
      </w:pPr>
      <w:r>
        <w:t xml:space="preserve">• GOB-SGSI-03 — Acta de Nombramiento CISO y Comité SGSI</w:t>
      </w:r>
    </w:p>
    <w:p>
      <w:pPr>
        <w:pStyle w:val="BodyText"/>
      </w:pPr>
      <w:r>
        <w:t xml:space="preserve">• GOB-SGSI-04 — Matriz RACI</w:t>
      </w:r>
    </w:p>
    <w:p>
      <w:pPr>
        <w:pStyle w:val="BodyText"/>
      </w:pPr>
      <w:r>
        <w:t xml:space="preserve">• GOB-SGSI-07 — Procedimiento de Gestión de No Conformidades y Acciones Correctivas</w:t>
      </w:r>
    </w:p>
    <w:p>
      <w:pPr>
        <w:pStyle w:val="BodyText"/>
      </w:pPr>
      <w:r>
        <w:t xml:space="preserve">• SoA — controles 5.1, 5.3 (ISO/IEC 27001:2022)</w:t>
      </w:r>
    </w:p>
    <w:p>
      <w:pPr>
        <w:pStyle w:val="BodyText"/>
      </w:pPr>
      <w:r>
        <w:t xml:space="preserve">• Ley 21.663 — Marco de Ciberseguridad (obligaciones de notificación ANCI)</w:t>
      </w:r>
    </w:p>
    <w:p>
      <w:pPr>
        <w:pStyle w:val="BodyText"/>
      </w:pPr>
      <w:r>
        <w:rPr>
          <w:b/>
          <w:bCs/>
        </w:rPr>
        <w:t xml:space="preserve">8. Control de cambios</w:t>
      </w:r>
    </w:p>
    <w:tbl>
      <w:tblPr>
        <w:tblStyle w:val="Table"/>
        <w:tblW w:type="pct" w:w="4895"/>
        <w:tblLayout w:type="fixed"/>
        <w:tblLook w:firstRow="1" w:lastRow="0" w:firstColumn="0" w:lastColumn="0" w:noHBand="0" w:noVBand="0" w:val="0020"/>
      </w:tblPr>
      <w:tblGrid>
        <w:gridCol w:w="1500"/>
        <w:gridCol w:w="1500"/>
        <w:gridCol w:w="2667"/>
        <w:gridCol w:w="2084"/>
      </w:tblGrid>
      <w:tr>
        <w:trPr>
          <w:tblHeader w:val="on"/>
        </w:trPr>
        <w:tc>
          <w:tcPr/>
          <w:p>
            <w:pPr>
              <w:pStyle w:val="Compact"/>
              <w:jc w:val="left"/>
            </w:pPr>
            <w:r>
              <w:rPr>
                <w:b/>
                <w:bCs/>
              </w:rPr>
              <w:t xml:space="preserve">Versión</w:t>
            </w:r>
          </w:p>
        </w:tc>
        <w:tc>
          <w:tcPr/>
          <w:p>
            <w:pPr>
              <w:pStyle w:val="Compact"/>
              <w:jc w:val="left"/>
            </w:pPr>
            <w:r>
              <w:rPr>
                <w:b/>
                <w:bCs/>
              </w:rPr>
              <w:t xml:space="preserve">Fecha</w:t>
            </w:r>
          </w:p>
        </w:tc>
        <w:tc>
          <w:tcPr/>
          <w:p>
            <w:pPr>
              <w:pStyle w:val="Compact"/>
              <w:jc w:val="left"/>
            </w:pPr>
            <w:r>
              <w:rPr>
                <w:b/>
                <w:bCs/>
              </w:rPr>
              <w:t xml:space="preserve">Descripción del cambio</w:t>
            </w:r>
          </w:p>
        </w:tc>
        <w:tc>
          <w:tcPr/>
          <w:p>
            <w:pPr>
              <w:pStyle w:val="Compact"/>
              <w:jc w:val="left"/>
            </w:pPr>
            <w:r>
              <w:rPr>
                <w:b/>
                <w:bCs/>
              </w:rPr>
              <w:t xml:space="preserve">Responsable</w:t>
            </w:r>
          </w:p>
        </w:tc>
      </w:tr>
      <w:tr>
        <w:tc>
          <w:tcPr/>
          <w:p>
            <w:pPr>
              <w:pStyle w:val="Compact"/>
              <w:jc w:val="left"/>
            </w:pPr>
            <w:r>
              <w:t xml:space="preserve">1.0</w:t>
            </w:r>
          </w:p>
        </w:tc>
        <w:tc>
          <w:tcPr/>
          <w:p>
            <w:pPr>
              <w:pStyle w:val="Compact"/>
              <w:jc w:val="left"/>
            </w:pPr>
            <w:r>
              <w:t xml:space="preserve">22-04-2026</w:t>
            </w:r>
          </w:p>
        </w:tc>
        <w:tc>
          <w:tcPr/>
          <w:p>
            <w:pPr>
              <w:pStyle w:val="Compact"/>
              <w:jc w:val="left"/>
            </w:pPr>
            <w:r>
              <w:t xml:space="preserve">Emisión inicial del documento</w:t>
            </w:r>
          </w:p>
        </w:tc>
        <w:tc>
          <w:tcPr/>
          <w:p>
            <w:pPr>
              <w:pStyle w:val="Compact"/>
              <w:jc w:val="left"/>
            </w:pPr>
            <w:r>
              <w:t xml:space="preserve">Equipo SGSI NovaRetail</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02-procedimientos/PROC-SGSI-19%20-%20Procedimiento%20de%20activaci%C3%B3n%20y%20cese%20de%20suplencia%20del%20CISO.docx" TargetMode="External" /></Relationships>
</file>

<file path=word/_rels/footnotes.xml.rels><?xml version="1.0" encoding="UTF-8"?><Relationships xmlns="http://schemas.openxmlformats.org/package/2006/relationships"><Relationship Type="http://schemas.openxmlformats.org/officeDocument/2006/relationships/hyperlink" Id="rId20" Target="../02-procedimientos/PROC-SGSI-19%20-%20Procedimiento%20de%20activaci%C3%B3n%20y%20cese%20de%20suplencia%20del%20CISO.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2026-07-02T05:33:30Z</dcterms:created>
  <dcterms:modified xsi:type="dcterms:W3CDTF">2026-07-02T05:33:30Z</dcterms:modified>
</cp:coreProperties>
</file>

<file path=docProps/custom.xml><?xml version="1.0" encoding="utf-8"?>
<Properties xmlns="http://schemas.openxmlformats.org/officeDocument/2006/custom-properties" xmlns:vt="http://schemas.openxmlformats.org/officeDocument/2006/docPropsVTypes"/>
</file>