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POLÍTICAS DE SEGURIDAD DEL SISTEMA DE GESTIÓN DE SEGURIDAD DE LA INFORMACIÓN</w:t>
      </w:r>
    </w:p>
    <w:p>
      <w:pPr>
        <w:jc w:val="center"/>
      </w:pPr>
      <w:r>
        <w:rPr>
          <w:b/>
          <w:sz w:val="26"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Código del conjunto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POL-SGSI-01 a POL-SGSI-15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POL-SGSI-01 — Política de control de acceso</w:t>
      </w:r>
    </w:p>
    <w:p>
      <w:pPr>
        <w:jc w:val="center"/>
      </w:pPr>
      <w:r>
        <w:rPr>
          <w:i/>
          <w:sz w:val="22"/>
        </w:rPr>
        <w:t>Política de seguridad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POL-SGSI-01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Establecer los criterios y controles que rigen el otorgamiento, modificación, revisión y revocación de accesos lógicos a los sistemas, aplicaciones, datos e infraestructura de NovaRetail SpA, garantizando que cada usuario o proceso tenga únicamente los privilegios necesarios para el desempeño de sus funciones, conforme al principio de mínimo privilegio y separación de funciones exigidos por la norma ISO/IEC 27001:2022.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 todos los activos de información de NovaRetail SpA que requieran control de acceso, incluyendo el portal e-commerce, ERP, bases de datos transaccionales y de inventario, correo corporativo (Microsoft 365), pasarela de pago (alcance PCI DSS), VPN, servidores en datacenter central, bodega regional y servicios en la nube (M365/Workspace). Alcanza a empleados de planta, contratistas, proveedores con acceso remoto y cuentas de servicio o integración.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Define los estándares de control de acceso, aprueba perfiles de privilegio elevado y lidera las revisiones periódicas de accesos.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Gerencia TI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Implementa y mantiene los controles técnicos: directorio activo, grupos, MFA, herramientas IAM y registros de auditoría de acceso.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Jefaturas / propietarios de activo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Solicitan y aprueban altas, modificaciones y bajas de acceso para su personal; validan la pertinencia de los perfiles otorgados en las revisiones periódicas.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Recursos Humanos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Notifica a Gerencia TI y al CISO el inicio y término de toda relación laboral o contractual para activar el proceso de alta o revocación de accesos.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Usuarios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Utilizan los accesos asignados exclusivamente para los fines laborales autorizados y reportan cualquier acceso sospechoso o no autorizado.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Lineamientos de la política</w:t>
      </w:r>
    </w:p>
    <w:p>
      <w:pPr>
        <w:spacing w:before="160"/>
      </w:pPr>
      <w:r>
        <w:rPr>
          <w:b/>
          <w:sz w:val="22"/>
        </w:rPr>
        <w:t>5.1 Principio de mínimo privilegio y necesidad de conocer</w:t>
      </w:r>
    </w:p>
    <w:p>
      <w:pPr>
        <w:spacing w:after="40"/>
      </w:pPr>
      <w:r>
        <w:rPr>
          <w:sz w:val="22"/>
        </w:rPr>
        <w:t>• Todo acceso se otorga con el nivel mínimo necesario para el desempeño de las funciones asignadas.</w:t>
      </w:r>
    </w:p>
    <w:p>
      <w:pPr>
        <w:spacing w:after="40"/>
      </w:pPr>
      <w:r>
        <w:rPr>
          <w:sz w:val="22"/>
        </w:rPr>
        <w:t>• Queda prohibido el acceso genérico o "por si acaso". Cada solicitud debe justificar la necesidad de negocio.</w:t>
      </w:r>
    </w:p>
    <w:p>
      <w:pPr>
        <w:spacing w:after="40"/>
      </w:pPr>
      <w:r>
        <w:rPr>
          <w:sz w:val="22"/>
        </w:rPr>
        <w:t>• Se aplica separación de funciones en sistemas críticos: quien aprueba transacciones no puede modificar parámetros del sistema; quien administra la base de datos de producción no tiene acceso a la consola de pago.</w:t>
      </w:r>
    </w:p>
    <w:p>
      <w:pPr>
        <w:spacing w:before="160"/>
      </w:pPr>
      <w:r>
        <w:rPr>
          <w:b/>
          <w:sz w:val="22"/>
        </w:rPr>
        <w:t>5.2 Gestión del ciclo de vida de los accesos</w:t>
      </w:r>
    </w:p>
    <w:p>
      <w:pPr>
        <w:spacing w:after="40"/>
      </w:pPr>
      <w:r>
        <w:rPr>
          <w:sz w:val="22"/>
        </w:rPr>
        <w:t>• Alta de acceso: toda solicitud se formaliza mediante ticket en el sistema ITSM, con aprobación de la jefatura directa y del CISO para perfiles con privilegios elevados. El acceso se activa solo tras recibir ambas aprobaciones.</w:t>
      </w:r>
    </w:p>
    <w:p>
      <w:pPr>
        <w:spacing w:after="40"/>
      </w:pPr>
      <w:r>
        <w:rPr>
          <w:sz w:val="22"/>
        </w:rPr>
        <w:t>• Modificación de acceso: los cambios de rol, área o cargo generan automáticamente una revisión y ajuste de perfiles en un plazo máximo de 48 horas hábiles.</w:t>
      </w:r>
    </w:p>
    <w:p>
      <w:pPr>
        <w:spacing w:after="40"/>
      </w:pPr>
      <w:r>
        <w:rPr>
          <w:sz w:val="22"/>
        </w:rPr>
        <w:t>• Revocación de acceso: al término de la relación laboral o contractual, todos los accesos son revocados el mismo día de la desvinculación, previa notificación de Recursos Humanos. Las cuentas de servicio asociadas al proveedor se desactivan dentro de las 4 horas siguientes.</w:t>
      </w:r>
    </w:p>
    <w:p>
      <w:pPr>
        <w:spacing w:after="40"/>
      </w:pPr>
      <w:r>
        <w:rPr>
          <w:sz w:val="22"/>
        </w:rPr>
        <w:t>• Las cuentas inactivas durante 60 días consecutivos se deshabilitan automáticamente; pasados 90 días sin uso, se eliminan previo respaldo de auditoría.</w:t>
      </w:r>
    </w:p>
    <w:p>
      <w:pPr>
        <w:spacing w:before="160"/>
      </w:pPr>
      <w:r>
        <w:rPr>
          <w:b/>
          <w:sz w:val="22"/>
        </w:rPr>
        <w:t>5.3 Privilegios elevados y cuentas de administración</w:t>
      </w:r>
    </w:p>
    <w:p>
      <w:pPr>
        <w:spacing w:after="40"/>
      </w:pPr>
      <w:r>
        <w:rPr>
          <w:sz w:val="22"/>
        </w:rPr>
        <w:t>• Las cuentas de administrador de dominio, DBA y root son independientes de las cuentas de uso diario del mismo usuario.</w:t>
      </w:r>
    </w:p>
    <w:p>
      <w:pPr>
        <w:spacing w:after="40"/>
      </w:pPr>
      <w:r>
        <w:rPr>
          <w:sz w:val="22"/>
        </w:rPr>
        <w:t>• El uso de cuentas privilegiadas queda registrado en logs de auditoría con retención mínima de 12 meses.</w:t>
      </w:r>
    </w:p>
    <w:p>
      <w:pPr>
        <w:spacing w:after="40"/>
      </w:pPr>
      <w:r>
        <w:rPr>
          <w:sz w:val="22"/>
        </w:rPr>
        <w:t>• Se prohíbe el uso de cuentas compartidas de administración. Cada operador privilegiado tiene su cuenta nominal.</w:t>
      </w:r>
    </w:p>
    <w:p>
      <w:pPr>
        <w:spacing w:after="40"/>
      </w:pPr>
      <w:r>
        <w:rPr>
          <w:sz w:val="22"/>
        </w:rPr>
        <w:t>• Los accesos de administración remota (SSH, RDP) solo se permiten a través de VPN corporativa con MFA habilitado.</w:t>
      </w:r>
    </w:p>
    <w:p>
      <w:pPr>
        <w:spacing w:before="160"/>
      </w:pPr>
      <w:r>
        <w:rPr>
          <w:b/>
          <w:sz w:val="22"/>
        </w:rPr>
        <w:t>5.4 Revisión periódica de accesos</w:t>
      </w:r>
    </w:p>
    <w:p>
      <w:pPr>
        <w:spacing w:after="40"/>
      </w:pPr>
      <w:r>
        <w:rPr>
          <w:sz w:val="22"/>
        </w:rPr>
        <w:t>• Se realiza una revisión formal de todos los perfiles de acceso al menos cada seis meses, o cuando ocurra un cambio organizacional significativo.</w:t>
      </w:r>
    </w:p>
    <w:p>
      <w:pPr>
        <w:spacing w:after="40"/>
      </w:pPr>
      <w:r>
        <w:rPr>
          <w:sz w:val="22"/>
        </w:rPr>
        <w:t>• Las jefaturas validan que los accesos de su equipo siguen siendo necesarios y apropiados. Los accesos que no sean revalidados se revocan.</w:t>
      </w:r>
    </w:p>
    <w:p>
      <w:pPr>
        <w:spacing w:after="40"/>
      </w:pPr>
      <w:r>
        <w:rPr>
          <w:sz w:val="22"/>
        </w:rPr>
        <w:t>• El CISO consolida los resultados y presenta un informe al Comité de Seguridad.</w:t>
      </w:r>
    </w:p>
    <w:p>
      <w:pPr>
        <w:spacing w:before="160"/>
      </w:pPr>
      <w:r>
        <w:rPr>
          <w:b/>
          <w:sz w:val="22"/>
        </w:rPr>
        <w:t>5.5 Acceso de terceros y proveedores</w:t>
      </w:r>
    </w:p>
    <w:p>
      <w:pPr>
        <w:spacing w:after="40"/>
      </w:pPr>
      <w:r>
        <w:rPr>
          <w:sz w:val="22"/>
        </w:rPr>
        <w:t>• Los proveedores con acceso remoto a sistemas de NovaRetail (incluyendo el proveedor logístico, OIV potencial) deben firmar un acuerdo de confidencialidad y cumplir esta política.</w:t>
      </w:r>
    </w:p>
    <w:p>
      <w:pPr>
        <w:spacing w:after="40"/>
      </w:pPr>
      <w:r>
        <w:rPr>
          <w:sz w:val="22"/>
        </w:rPr>
        <w:t>• El acceso de terceros se limita al sistema y horario estrictamente necesarios, se activa bajo demanda y se revoca al finalizar la tarea o el contrato.</w:t>
      </w:r>
    </w:p>
    <w:p>
      <w:pPr>
        <w:spacing w:after="40"/>
      </w:pPr>
      <w:r>
        <w:rPr>
          <w:sz w:val="22"/>
        </w:rPr>
        <w:t>• Los accesos de terceros se registran en el inventario de accesos de Gerencia TI y son revisados mensualmente.</w:t>
      </w:r>
    </w:p>
    <w:p>
      <w:pPr>
        <w:spacing w:before="160"/>
      </w:pPr>
      <w:r>
        <w:rPr>
          <w:b/>
          <w:sz w:val="22"/>
        </w:rPr>
        <w:t>5.6 Acceso a entornos críticos (PCI y datos personales)</w:t>
      </w:r>
    </w:p>
    <w:p>
      <w:pPr>
        <w:spacing w:after="40"/>
      </w:pPr>
      <w:r>
        <w:rPr>
          <w:sz w:val="22"/>
        </w:rPr>
        <w:t>• Los sistemas dentro del alcance PCI DSS (pasarela de pago, bases de datos de transacciones) requieren MFA sin excepción, acceso basado en roles explícitamente aprobados y log de toda sesión.</w:t>
      </w:r>
    </w:p>
    <w:p>
      <w:pPr>
        <w:spacing w:after="40"/>
      </w:pPr>
      <w:r>
        <w:rPr>
          <w:sz w:val="22"/>
        </w:rPr>
        <w:t>• El acceso a datos personales de clientes (Ley N° 19.628) se restringe al personal con necesidad de negocio documentada y se audita trimestralmente.</w:t>
      </w:r>
    </w:p>
    <w:p>
      <w:pPr>
        <w:spacing w:before="160"/>
      </w:pPr>
      <w:r>
        <w:rPr>
          <w:b/>
          <w:sz w:val="22"/>
        </w:rPr>
        <w:t>5.7 Acceso físico relacionado</w:t>
      </w:r>
    </w:p>
    <w:p>
      <w:pPr>
        <w:spacing w:after="40"/>
      </w:pPr>
      <w:r>
        <w:rPr>
          <w:sz w:val="22"/>
        </w:rPr>
        <w:t>• El acceso al datacenter central, sala de servidores y rack de red en bodega regional queda restringido al personal de Gerencia TI y al CISO. El acceso de visitas o mantenimiento se registra en la bitácora física.</w:t>
      </w:r>
    </w:p>
    <w:p>
      <w:pPr>
        <w:spacing w:after="40"/>
      </w:pPr>
      <w:r>
        <w:rPr>
          <w:sz w:val="22"/>
        </w:rPr>
        <w:t>• Las credenciales físicas (tarjetas de acceso, llaves) siguen el mismo proceso de alta y revocación que los accesos lógicos.</w:t>
      </w:r>
    </w:p>
    <w:p>
      <w:pPr>
        <w:spacing w:before="200" w:after="80"/>
      </w:pPr>
      <w:r>
        <w:rPr>
          <w:b/>
          <w:color w:val="1F3864"/>
          <w:sz w:val="26"/>
        </w:rPr>
        <w:t>6. Incumplimientos</w:t>
      </w:r>
    </w:p>
    <w:p>
      <w:pPr>
        <w:spacing w:after="40"/>
      </w:pPr>
      <w:r>
        <w:rPr>
          <w:sz w:val="22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aplicable, y a responsabilidad civil o penal en caso de accesos no autorizados a datos personales o información financiera.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r>
        <w:rPr>
          <w:b/>
        </w:rPr>
        <w:t xml:space="preserve">Procedimiento(s) vinculado(s): </w:t>
      </w:r>
      <w:hyperlink r:id="rIdLnk1" w:history="1">
        <w:r>
          <w:rPr>
            <w:color w:val="0563C1"/>
            <w:u w:val="single"/>
          </w:rPr>
          <w:t xml:space="preserve">PROC-SGSI-06 — Procedimiento de alta, modificación y baja de accesos</w:t>
        </w:r>
      </w:hyperlink>
      <w:r>
        <w:t xml:space="preserve"> · </w:t>
      </w:r>
      <w:hyperlink r:id="rIdLnk2" w:history="1">
        <w:r>
          <w:rPr>
            <w:color w:val="0563C1"/>
            <w:u w:val="single"/>
          </w:rPr>
          <w:t xml:space="preserve">PROC-SGSI-07 — Procedimiento de revisión periódica de accesos</w:t>
        </w:r>
      </w:hyperlink>
    </w:p>
    <w:p>
      <w:pPr>
        <w:spacing w:after="40"/>
      </w:pPr>
      <w:r>
        <w:rPr>
          <w:sz w:val="22"/>
        </w:rPr>
        <w:t>• SoA – controles 5.15, 5.16, 5.17, 5.18, 8.2, 8.3 (ISO/IEC 27001:2022)</w:t>
      </w:r>
    </w:p>
    <w:p>
      <w:pPr>
        <w:spacing w:after="40"/>
      </w:pPr>
      <w:r>
        <w:rPr>
          <w:sz w:val="22"/>
        </w:rPr>
        <w:t>• Matriz de riesgos (R-01, R-05, R-07, R-10, R-12, R-13)</w:t>
      </w:r>
    </w:p>
    <w:p>
      <w:pPr>
        <w:spacing w:after="40"/>
      </w:pPr>
      <w:r>
        <w:rPr>
          <w:sz w:val="22"/>
        </w:rPr>
        <w:t>• POL-SGSI-02 — Política de gestión de contraseñas y autenticación</w:t>
      </w:r>
    </w:p>
    <w:p>
      <w:pPr>
        <w:spacing w:after="40"/>
      </w:pPr>
      <w:r>
        <w:rPr>
          <w:sz w:val="22"/>
        </w:rPr>
        <w:t>• POL-SGSI-06 — Política de uso seguro de dispositivos y estaciones de trabajo</w:t>
      </w:r>
    </w:p>
    <w:p>
      <w:pPr>
        <w:spacing w:after="40"/>
      </w:pPr>
      <w:r>
        <w:rPr>
          <w:sz w:val="22"/>
        </w:rPr>
        <w:t>• POL-SGSI-08 — Política de registro y monitoreo</w:t>
      </w:r>
    </w:p>
    <w:p>
      <w:pPr>
        <w:spacing w:after="40"/>
      </w:pPr>
      <w:r>
        <w:rPr>
          <w:sz w:val="22"/>
        </w:rPr>
        <w:t>• Política de contratación y desvinculación (pendiente)</w:t>
      </w:r>
    </w:p>
    <w:p>
      <w:pPr>
        <w:spacing w:after="40"/>
      </w:pPr>
      <w:r>
        <w:rPr>
          <w:sz w:val="22"/>
        </w:rPr>
        <w:t>• Procedimiento de alta, modificación y baja de accesos (pendiente)</w:t>
      </w:r>
    </w:p>
    <w:p>
      <w:pPr>
        <w:spacing w:after="40"/>
      </w:pPr>
      <w:r>
        <w:rPr>
          <w:sz w:val="22"/>
        </w:rPr>
        <w:t>• Procedimiento de revisión periódica de accesos (pendiente)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Lnk1" Type="http://schemas.openxmlformats.org/officeDocument/2006/relationships/hyperlink" Target="../02-procedimientos/PROC-SGSI-06%20-%20Procedimiento%20de%20alta%2C%20modificaci%C3%B3n%20y%20baja%20de%20accesos.docx" TargetMode="External"/><Relationship Id="rIdLnk2" Type="http://schemas.openxmlformats.org/officeDocument/2006/relationships/hyperlink" Target="../02-procedimientos/PROC-SGSI-07%20-%20Procedimiento%20de%20revisi%C3%B3n%20peri%C3%B3dica%20de%20acceso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735BFD-F984-4E96-A783-9E2B42692C9B}"/>
</file>

<file path=customXml/itemProps3.xml><?xml version="1.0" encoding="utf-8"?>
<ds:datastoreItem xmlns:ds="http://schemas.openxmlformats.org/officeDocument/2006/customXml" ds:itemID="{DC036D06-0CC0-4F8F-B1A3-ABAD1594FF23}"/>
</file>

<file path=customXml/itemProps4.xml><?xml version="1.0" encoding="utf-8"?>
<ds:datastoreItem xmlns:ds="http://schemas.openxmlformats.org/officeDocument/2006/customXml" ds:itemID="{028ED559-7B71-4EFC-BF52-9D1FB0EC6E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