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w:rsidR="7B51EC2B" w:rsidP="5BEFF8ED" w:rsidRDefault="7B51EC2B" w14:paraId="48A6DC98" w14:textId="4034CB8F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5BEFF8ED" w:rsidR="7B51EC2B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w:rsidR="7B51EC2B" w:rsidP="5BEFF8ED" w:rsidRDefault="7B51EC2B" w14:paraId="698D5447" w14:textId="2D81942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5BEFF8ED" w:rsidR="7B51EC2B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w:rsidR="5BEFF8ED" w:rsidP="5BEFF8ED" w:rsidRDefault="5BEFF8ED" w14:paraId="2B2B1551" w14:textId="29A0878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7B51EC2B" w:rsidP="5BEFF8ED" w:rsidRDefault="7B51EC2B" w14:paraId="6530A0C2" w14:textId="13DCD03F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5BEFF8ED" w:rsidR="7B51EC2B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w:rsidR="5BEFF8ED" w:rsidP="5BEFF8ED" w:rsidRDefault="5BEFF8ED" w14:paraId="68766C25" w14:textId="60DF7F9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5BEFF8ED" w:rsidP="5BEFF8ED" w:rsidRDefault="5BEFF8ED" w14:paraId="36035A2E" w14:textId="40253F9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7B51EC2B" w:rsidP="5BEFF8ED" w:rsidRDefault="7B51EC2B" w14:paraId="6857C152" w14:textId="2E207BD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5BEFF8ED" w:rsidR="7B51EC2B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w:rsidR="7B51EC2B" w:rsidP="5BEFF8ED" w:rsidRDefault="7B51EC2B" w14:paraId="6C0B9343" w14:textId="6637FE79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5BEFF8ED" w:rsidR="7B51EC2B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w:rsidR="5BEFF8ED" w:rsidP="5BEFF8ED" w:rsidRDefault="5BEFF8ED" w14:paraId="7A4C2A65" w14:textId="45003492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5BEFF8ED" w:rsidP="5BEFF8ED" w:rsidRDefault="5BEFF8ED" w14:paraId="791D5DEF" w14:textId="1D85E381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7B51EC2B" w:rsidP="5BEFF8ED" w:rsidRDefault="7B51EC2B" w14:paraId="1E9A154B" w14:textId="4C792E2F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5BEFF8ED" w:rsidR="7B51EC2B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w:rsidR="7B51EC2B" w:rsidP="5BEFF8ED" w:rsidRDefault="7B51EC2B" w14:paraId="46F90DDE" w14:textId="1FFC8A0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5BEFF8ED" w:rsidR="7B51EC2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w:rsidR="7B51EC2B" w:rsidP="5BEFF8ED" w:rsidRDefault="7B51EC2B" w14:paraId="24A50EEC" w14:textId="71875B5A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5BEFF8ED" w:rsidR="7B51EC2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w:rsidR="7B51EC2B" w:rsidP="5BEFF8ED" w:rsidRDefault="7B51EC2B" w14:paraId="6907B397" w14:textId="42D9F17F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5BEFF8ED" w:rsidR="7B51EC2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w:rsidR="7B51EC2B" w:rsidP="5BEFF8ED" w:rsidRDefault="7B51EC2B" w14:paraId="6AD241D4" w14:textId="567A670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5BEFF8ED" w:rsidR="7B51EC2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w:rsidR="7B51EC2B" w:rsidP="5BEFF8ED" w:rsidRDefault="7B51EC2B" w14:paraId="47F2C1FF" w14:textId="37A591B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5BEFF8ED" w:rsidR="7B51EC2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w:rsidR="5BEFF8ED" w:rsidP="5BEFF8ED" w:rsidRDefault="5BEFF8ED" w14:paraId="21BE30E2" w14:textId="3462FA02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5BEFF8ED" w:rsidP="5BEFF8ED" w:rsidRDefault="5BEFF8ED" w14:paraId="20D52E75" w14:textId="72321B67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5BEFF8ED" w:rsidP="5BEFF8ED" w:rsidRDefault="5BEFF8ED" w14:paraId="01A7BAB0" w14:textId="3E6E527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100"/>
      </w:tblGrid>
      <w:tr w:rsidR="5BEFF8ED" w:rsidTr="5BEFF8ED" w14:paraId="6CFBEABF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34EF4E60" w14:textId="68B262C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Código del conjunto</w:t>
            </w:r>
          </w:p>
        </w:tc>
        <w:tc>
          <w:tcPr>
            <w:tcW w:w="51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405B57A2" w14:textId="2452749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  <w:t>POL-SGSI-01 a POL-SGSI-15</w:t>
            </w:r>
          </w:p>
        </w:tc>
      </w:tr>
      <w:tr w:rsidR="5BEFF8ED" w:rsidTr="5BEFF8ED" w14:paraId="6EB4085A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30DADE4E" w14:textId="792E72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1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31FA7F57" w14:textId="64E05B8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  <w:t>22-04-2026</w:t>
            </w:r>
          </w:p>
        </w:tc>
      </w:tr>
      <w:tr w:rsidR="5BEFF8ED" w:rsidTr="5BEFF8ED" w14:paraId="21655093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46919C7A" w14:textId="1563FF6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1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63B716E6" w14:textId="31588E5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  <w:t>1.0</w:t>
            </w:r>
            <w:r w:rsidRPr="5BEFF8ED" w:rsidR="4288D28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r>
          </w:p>
        </w:tc>
      </w:tr>
      <w:tr w:rsidR="5BEFF8ED" w:rsidTr="5BEFF8ED" w14:paraId="1FBDF4EB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6B795F4D" w14:textId="0C16A6F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Estado</w:t>
            </w:r>
          </w:p>
        </w:tc>
        <w:tc>
          <w:tcPr>
            <w:tcW w:w="51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2940B0AC" w14:textId="1B6E6E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5BEFF8ED" w:rsidTr="5BEFF8ED" w14:paraId="36E492CD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437349E1" w14:textId="0B6F769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1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70E5818C" w14:textId="70263A3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MX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w:rsidR="5BEFF8ED" w:rsidP="5BEFF8ED" w:rsidRDefault="5BEFF8ED" w14:paraId="1A5A5972" w14:textId="76F72504">
      <w:pPr>
        <w:pStyle w:val="Normal"/>
      </w:pPr>
    </w:p>
    <w:p w:rsidR="12A1A6D0" w:rsidP="5BEFF8ED" w:rsidRDefault="12A1A6D0" w14:paraId="5D1251E3" w14:textId="574867C4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0"/>
          <w:szCs w:val="30"/>
          <w:lang w:val="es-MX"/>
        </w:rPr>
      </w:pPr>
      <w:r w:rsidRPr="5BEFF8ED" w:rsidR="12A1A6D0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0"/>
          <w:szCs w:val="30"/>
          <w:lang w:val="en-US"/>
        </w:rPr>
        <w:t>POL-SGSI-03 — Política de respaldo y recuperación</w:t>
      </w:r>
    </w:p>
    <w:p w:rsidR="12A1A6D0" w:rsidP="5BEFF8ED" w:rsidRDefault="12A1A6D0" w14:paraId="6780F923" w14:textId="37237613">
      <w:pPr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color w:val="555555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1"/>
          <w:iCs w:val="1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w:rsidR="5BEFF8ED" w:rsidP="5BEFF8ED" w:rsidRDefault="5BEFF8ED" w14:paraId="11777469" w14:textId="0D1ED07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12A1A6D0" w:rsidP="5BEFF8ED" w:rsidRDefault="12A1A6D0" w14:paraId="3D732142" w14:textId="5FE14E87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5BEFF8ED" w:rsidR="12A1A6D0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  <w:t>1. Control documental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BEFF8ED" w:rsidTr="5BEFF8ED" w14:paraId="3CC28713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764DF6CC" w14:textId="33E4348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1B9D5B29" w14:textId="781E045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POL-SGSI-03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20FC552D" w14:textId="576824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35AE2493" w14:textId="3F8DF99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5BEFF8ED" w:rsidTr="5BEFF8ED" w14:paraId="6D1AAEAF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44375FB9" w14:textId="5939270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3B8A6BD9" w14:textId="4B57FEB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0945C38F" w14:textId="6FA5120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7067C2EA" w14:textId="4A89A01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5BEFF8ED" w:rsidTr="5BEFF8ED" w14:paraId="39EEDDB1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1DC1D687" w14:textId="07FA71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20F20F10" w14:textId="3CEBFCC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6257111E" w14:textId="7129D4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2AC679F1" w14:textId="5809D34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5BEFF8ED" w:rsidTr="5BEFF8ED" w14:paraId="6561DFEC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4906DA65" w14:textId="2CC206C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4D544D3C" w14:textId="118AE37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40869694" w14:textId="57BC6CA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275B5C71" w14:textId="7DE127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w:rsidR="5BEFF8ED" w:rsidP="5BEFF8ED" w:rsidRDefault="5BEFF8ED" w14:paraId="74D09670" w14:textId="1B5412FA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12A1A6D0" w:rsidP="5BEFF8ED" w:rsidRDefault="12A1A6D0" w14:paraId="44EE9235" w14:textId="4E50B432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5BEFF8ED" w:rsidR="12A1A6D0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2. Objetivo</w:t>
      </w:r>
    </w:p>
    <w:p w:rsidR="12A1A6D0" w:rsidP="5BEFF8ED" w:rsidRDefault="12A1A6D0" w14:paraId="3EC675F6" w14:textId="16FBCB58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Establecer los lineamientos para el respaldo, resguardo y recuperación de la información crítica de NovaRetail SpA, garantizando la disponibilidad y continuidad operativa frente a incidentes, fallas o desastres.</w:t>
      </w:r>
    </w:p>
    <w:p w:rsidR="12A1A6D0" w:rsidP="5BEFF8ED" w:rsidRDefault="12A1A6D0" w14:paraId="6D1C3699" w14:textId="216036B1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5BEFF8ED" w:rsidR="12A1A6D0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3. Alcance</w:t>
      </w:r>
    </w:p>
    <w:p w:rsidR="12A1A6D0" w:rsidP="5BEFF8ED" w:rsidRDefault="12A1A6D0" w14:paraId="19B3ECD5" w14:textId="102FBEDA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Aplica a la base de datos de clientes, ERP, sistema de inventario, portal e-commerce, correo corporativo, configuraciones de red y cualquier otro sistema clasificado como crítico.</w:t>
      </w:r>
    </w:p>
    <w:p w:rsidR="12A1A6D0" w:rsidP="5BEFF8ED" w:rsidRDefault="12A1A6D0" w14:paraId="20A249F4" w14:textId="5E2C3A3D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5BEFF8ED" w:rsidR="12A1A6D0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4. Roles y responsabilidades</w:t>
      </w:r>
    </w:p>
    <w:p w:rsidR="12A1A6D0" w:rsidP="5BEFF8ED" w:rsidRDefault="12A1A6D0" w14:paraId="0FF1070A" w14:textId="744F6A2B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El CISO aprueba la estrategia y verifica su cumplimiento. Infraestructura TI ejecuta los respaldos, valida las restauraciones y custodia los medios. Los propietarios de los activos definen RTO y RPO por sistema. La Gerencia General conoce los resultados de pruebas y aprueba inversiones.</w:t>
      </w:r>
    </w:p>
    <w:p w:rsidR="12A1A6D0" w:rsidP="5BEFF8ED" w:rsidRDefault="12A1A6D0" w14:paraId="4B49CDBB" w14:textId="4423D82E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5BEFF8ED" w:rsidR="12A1A6D0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5. Lineamientos de la política</w:t>
      </w:r>
    </w:p>
    <w:p w:rsidR="12A1A6D0" w:rsidP="5BEFF8ED" w:rsidRDefault="12A1A6D0" w14:paraId="5ECB5579" w14:textId="088C63F8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Se aplicará la estrategia 3-2-1: tres copias de la información, en dos medios distintos, con al menos una copia offsite.</w:t>
      </w:r>
    </w:p>
    <w:p w:rsidR="12A1A6D0" w:rsidP="5BEFF8ED" w:rsidRDefault="12A1A6D0" w14:paraId="24F66902" w14:textId="091ACC09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Los respaldos completos de sistemas críticos se realizarán semanalmente y los incrementales diariamente.</w:t>
      </w:r>
    </w:p>
    <w:p w:rsidR="12A1A6D0" w:rsidP="5BEFF8ED" w:rsidRDefault="12A1A6D0" w14:paraId="7AC38FE6" w14:textId="563E43BB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Al menos una copia debe ser inmutable o estar aislada de la red de producción para mitigar riesgo de ransomware.</w:t>
      </w:r>
    </w:p>
    <w:p w:rsidR="12A1A6D0" w:rsidP="5BEFF8ED" w:rsidRDefault="12A1A6D0" w14:paraId="3DAF463E" w14:textId="08A4722D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Se realizarán pruebas de restauración trimestrales documentadas; los resultados deben ser revisados por el CISO.</w:t>
      </w:r>
    </w:p>
    <w:p w:rsidR="12A1A6D0" w:rsidP="5BEFF8ED" w:rsidRDefault="12A1A6D0" w14:paraId="6214F296" w14:textId="3A5807D9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La retención mínima será de 90 días para información operativa y de 12 meses para información regulada (clientes, pagos).</w:t>
      </w:r>
    </w:p>
    <w:p w:rsidR="12A1A6D0" w:rsidP="5BEFF8ED" w:rsidRDefault="12A1A6D0" w14:paraId="3290CC83" w14:textId="13FAD87E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Los objetivos mínimos para sistemas críticos serán: RTO de 4 horas y RPO de 24 horas. Los sistemas más críticos (base de datos de clientes, portal y ERP) tienen objetivos más estrictos definidos por sistema en el Plan de Continuidad del Negocio (GOB-SGSI-08), con RPO de 1 a 4 horas.</w:t>
      </w:r>
    </w:p>
    <w:p w:rsidR="12A1A6D0" w:rsidP="5BEFF8ED" w:rsidRDefault="12A1A6D0" w14:paraId="6A141D60" w14:textId="5CBA03BC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Los respaldos que contengan datos personales o datos dentro del alcance PCI deben almacenarse cifrados.</w:t>
      </w:r>
    </w:p>
    <w:p w:rsidR="12A1A6D0" w:rsidP="5BEFF8ED" w:rsidRDefault="12A1A6D0" w14:paraId="7D723E89" w14:textId="71649C38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5BEFF8ED" w:rsidR="12A1A6D0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6. Incumplimientos</w:t>
      </w:r>
    </w:p>
    <w:p w:rsidR="12A1A6D0" w:rsidP="5BEFF8ED" w:rsidRDefault="12A1A6D0" w14:paraId="23FAABFD" w14:textId="62E48455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w:rsidR="12A1A6D0" w:rsidP="5BEFF8ED" w:rsidRDefault="12A1A6D0" w14:paraId="0D27B1A8" w14:textId="7BB6F004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5BEFF8ED" w:rsidR="12A1A6D0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7. Documentos relacionados</w:t>
      </w:r>
    </w:p>
    <w:p>
      <w:r>
        <w:rPr>
          <w:b/>
        </w:rPr>
        <w:t xml:space="preserve">Procedimiento(s) vinculado(s): </w:t>
      </w:r>
      <w:hyperlink r:id="rIdLnk1" w:history="1">
        <w:r>
          <w:rPr>
            <w:color w:val="0563C1"/>
            <w:u w:val="single"/>
          </w:rPr>
          <w:t xml:space="preserve">PROC-SGSI-02 — Procedimiento de backup de base de datos</w:t>
        </w:r>
      </w:hyperlink>
      <w:r>
        <w:t xml:space="preserve"> · </w:t>
      </w:r>
      <w:hyperlink r:id="rIdLnk2" w:history="1">
        <w:r>
          <w:rPr>
            <w:color w:val="0563C1"/>
            <w:u w:val="single"/>
          </w:rPr>
          <w:t xml:space="preserve">PROC-SGSI-03 — Procedimiento de rollback</w:t>
        </w:r>
      </w:hyperlink>
    </w:p>
    <w:p w:rsidR="12A1A6D0" w:rsidP="5BEFF8ED" w:rsidRDefault="12A1A6D0" w14:paraId="0BC6F6DB" w14:textId="32AF60ED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5BEFF8ED" w:rsidR="12A1A6D0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SoA – controles 8.13, 8.14; Matriz de riesgos (R-02, R-10, R-11); Plan de continuidad del negocio; Procedimiento de restauración de servicios críticos.</w:t>
      </w:r>
    </w:p>
    <w:p w:rsidR="12A1A6D0" w:rsidP="5BEFF8ED" w:rsidRDefault="12A1A6D0" w14:paraId="121E21B3" w14:textId="60DE411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5BEFF8ED" w:rsidR="12A1A6D0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5BEFF8ED" w:rsidTr="5BEFF8ED" w14:paraId="269ACE10">
        <w:trPr>
          <w:trHeight w:val="300"/>
        </w:trPr>
        <w:tc>
          <w:tcPr>
            <w:tcW w:w="13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786F7FCD" w14:textId="4D98211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48E49773" w14:textId="65EE41D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55D1013D" w14:textId="390EE2F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4AAA7D57" w14:textId="370BC53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5BEFF8ED" w:rsidTr="5BEFF8ED" w14:paraId="5A3AFD5D">
        <w:trPr>
          <w:trHeight w:val="300"/>
        </w:trPr>
        <w:tc>
          <w:tcPr>
            <w:tcW w:w="13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087676B4" w14:textId="2F5BCB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350CADBA" w14:textId="0532C2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597F25E0" w14:textId="41AF572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BEFF8ED" w:rsidP="5BEFF8ED" w:rsidRDefault="5BEFF8ED" w14:paraId="740969BA" w14:textId="15B025D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BEFF8ED" w:rsidR="5BEFF8E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w:rsidR="5BEFF8ED" w:rsidRDefault="5BEFF8ED" w14:paraId="6A65DB64" w14:textId="2E2BE18A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6b87c3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84A7EA6"/>
    <w:rsid w:val="12A1A6D0"/>
    <w:rsid w:val="1F4849D5"/>
    <w:rsid w:val="4288D280"/>
    <w:rsid w:val="5BEFF8ED"/>
    <w:rsid w:val="7B51E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56A70"/>
  <w15:chartTrackingRefBased/>
  <w15:docId w15:val="{1C219846-D04C-4E9B-892D-F3E0BF3E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5BEFF8E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189bb69fea84492b" Type="http://schemas.openxmlformats.org/officeDocument/2006/relationships/numbering" Target="numbering.xml"/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Relationship Id="rIdLnk1" Type="http://schemas.openxmlformats.org/officeDocument/2006/relationships/hyperlink" Target="../02-procedimientos/PROC-SGSI-02%20-%20Procedimiento%20de%20backup%20de%20base%20de%20datos.docx" TargetMode="External"/><Relationship Id="rIdLnk2" Type="http://schemas.openxmlformats.org/officeDocument/2006/relationships/hyperlink" Target="../02-procedimientos/PROC-SGSI-03%20-%20Procedimiento%20de%20rollback.docx" TargetMode="External"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3BDDA740-192A-4531-911B-7A19CFD216F1}"/>
</file>

<file path=customXml/itemProps2.xml><?xml version="1.0" encoding="utf-8"?>
<ds:datastoreItem xmlns:ds="http://schemas.openxmlformats.org/officeDocument/2006/customXml" ds:itemID="{DA874797-7760-44A7-ADCB-F03CE5C1A149}"/>
</file>

<file path=customXml/itemProps3.xml><?xml version="1.0" encoding="utf-8"?>
<ds:datastoreItem xmlns:ds="http://schemas.openxmlformats.org/officeDocument/2006/customXml" ds:itemID="{1CB03597-9F7F-47D4-8D08-5768D32144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SAVKA ANTIARE CARVAJAL GONZALEZ</dc:creator>
  <cp:keywords/>
  <dc:description/>
  <cp:lastModifiedBy>SAVKA ANTIARE CARVAJAL GONZALEZ</cp:lastModifiedBy>
  <cp:revision>2</cp:revision>
  <dcterms:created xsi:type="dcterms:W3CDTF">2026-05-04T04:05:42Z</dcterms:created>
  <dcterms:modified xsi:type="dcterms:W3CDTF">2026-05-04T04:07:02Z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