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28"/>
        </w:rPr>
        <w:t>POLÍTICAS DE SEGURIDAD DEL SISTEMA DE GESTIÓN DE SEGURIDAD DE LA INFORMACIÓN</w:t>
      </w:r>
    </w:p>
    <w:p>
      <w:pPr>
        <w:jc w:val="center"/>
      </w:pPr>
      <w:r>
        <w:rPr>
          <w:b/>
        </w:rPr>
        <w:t>NovaRetail SpA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5669"/>
      </w:tblGrid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Actividad práctica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Gobernanza e Implementación de un SGSI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Asignatura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Gestión de la Ciberseguridad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Integrantes del grupo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Sergio Cubelli</w:t>
              <w:br/>
              <w:t>Savka Carvajal</w:t>
              <w:br/>
              <w:t>Joaquín Zambra</w:t>
              <w:br/>
              <w:t>Alejandro Tapia</w:t>
              <w:br/>
              <w:t>Filippo Moreno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Código del conjunto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POL-SGSI-01 a POL-SGSI-15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Estado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Aprobado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Interno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1F3864"/>
          <w:sz w:val="28"/>
        </w:rPr>
        <w:t>POL-SGSI-05 — Política de gestión de parches y actualizaciones</w:t>
      </w:r>
    </w:p>
    <w:p>
      <w:pPr>
        <w:jc w:val="center"/>
      </w:pPr>
      <w:r>
        <w:rPr>
          <w:i/>
        </w:rPr>
        <w:t>Política de seguridad del SGSI de NovaRetail SpA.</w:t>
      </w:r>
    </w:p>
    <w:p/>
    <w:p>
      <w:pPr>
        <w:spacing w:before="200" w:after="80"/>
      </w:pPr>
      <w:r>
        <w:rPr>
          <w:b/>
          <w:color w:val="1F3864"/>
          <w:sz w:val="26"/>
        </w:rPr>
        <w:t>1.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Código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POL-SGSI-05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1.1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Interno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Elaborado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Equipo SGSI NovaRetail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Revisado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CISO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Aprobado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Gerencia General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Próxima revisión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22-04-2027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2. Objetivo</w:t>
      </w:r>
    </w:p>
    <w:p>
      <w:pPr>
        <w:spacing w:after="40"/>
      </w:pPr>
      <w:r>
        <w:rPr>
          <w:sz w:val="22"/>
        </w:rPr>
        <w:t>Establecer los requisitos para la identificación, priorización, prueba y aplicación de parches y actualizaciones de software en los sistemas de NovaRetail SpA, diferenciando el tratamiento de parches que requieren reinicio de servicio de los que no lo requieren, y definiendo los SLA por nivel de criticidad.</w:t>
      </w:r>
    </w:p>
    <w:p>
      <w:pPr>
        <w:spacing w:before="200" w:after="80"/>
      </w:pPr>
      <w:r>
        <w:rPr>
          <w:b/>
          <w:color w:val="1F3864"/>
          <w:sz w:val="26"/>
        </w:rPr>
        <w:t>3. Alcance</w:t>
      </w:r>
    </w:p>
    <w:p>
      <w:pPr>
        <w:spacing w:after="40"/>
      </w:pPr>
      <w:r>
        <w:rPr>
          <w:sz w:val="22"/>
        </w:rPr>
        <w:t>Aplica a sistemas operativos (Windows Server, Linux), aplicaciones de negocio (ERP, portal e-commerce), bases de datos, firmware de dispositivos de red, antivirus y agentes de seguridad instalados en la infraestructura de NovaRetail (datacenter, bodega regional, endpoints corporativos y servicios en la nube M365/Workspace).</w:t>
      </w:r>
    </w:p>
    <w:p>
      <w:pPr>
        <w:spacing w:before="200" w:after="80"/>
      </w:pPr>
      <w:r>
        <w:rPr>
          <w:b/>
          <w:color w:val="1F3864"/>
          <w:sz w:val="26"/>
        </w:rPr>
        <w:t>4. Roles y responsabilidades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CISO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Aprueba los SLA de parcheo, las ventanas de mantenimiento para sistemas críticos y las excepciones documentadas.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Gerencia TI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Monitorea las fuentes de parches, ejecuta el proceso y mantiene el registro de cumplimiento.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ERI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Prioriza parches según inteligencia de amenazas (CVEs activos) y valida que no haya regresiones de seguridad.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Jefaturas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Aprueban la ventana de mantenimiento para sus sistemas cuando implica corte de servicio.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5. Lineamientos de la política</w:t>
      </w:r>
    </w:p>
    <w:p>
      <w:pPr>
        <w:spacing w:before="140"/>
      </w:pPr>
      <w:r>
        <w:rPr>
          <w:b/>
          <w:color w:val="2E74B5"/>
          <w:sz w:val="22"/>
        </w:rPr>
        <w:t>5.1 SLA de aplicación de parches por criticidad</w:t>
      </w:r>
    </w:p>
    <w:p>
      <w:pPr>
        <w:spacing w:after="40"/>
      </w:pPr>
      <w:r>
        <w:rPr>
          <w:sz w:val="22"/>
        </w:rPr>
        <w:t>Todo parche disponible se clasifica y aplica dentro de los siguientes plazos, contados desde la publicación del boletín o la detección del CVE: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1"/>
        <w:gridCol w:w="1701"/>
        <w:gridCol w:w="1984"/>
        <w:gridCol w:w="3685"/>
      </w:tblGrid>
      <w:tr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Criticidad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CVSS</w:t>
            </w:r>
          </w:p>
        </w:tc>
        <w:tc>
          <w:tcPr>
            <w:tcW w:type="dxa" w:w="1984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Plazo máximo</w:t>
            </w:r>
          </w:p>
        </w:tc>
        <w:tc>
          <w:tcPr>
            <w:tcW w:type="dxa" w:w="368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Criterio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Crítico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≥ 9.0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48 horas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Explotación activa conocida o zero-day confirmado en sistemas PCI/ERP/portal.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Alto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7.0–8.9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7 días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Vulnerabilidad con PoC público o activo de alto valor afectado.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Medio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4.0–6.9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30 días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Sin explotación activa confirmada.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Bajo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&lt; 4.0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90 días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Parche de mejora o hardening sin impacto de seguridad inmediato.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Zero-day activo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Cualquiera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72 horas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CVE con explotación activa confirmada, independientemente del CVSS.</w:t>
            </w:r>
          </w:p>
        </w:tc>
      </w:tr>
    </w:tbl>
    <w:p>
      <w:pPr>
        <w:spacing w:before="140"/>
      </w:pPr>
      <w:r>
        <w:rPr>
          <w:b/>
          <w:color w:val="2E74B5"/>
          <w:sz w:val="22"/>
        </w:rPr>
        <w:t>5.2 Diferenciación por tipo de parche: con reinicio vs sin reinicio de servicio</w:t>
      </w:r>
    </w:p>
    <w:p>
      <w:pPr>
        <w:spacing w:after="40"/>
      </w:pPr>
      <w:r>
        <w:rPr>
          <w:sz w:val="22"/>
        </w:rPr>
        <w:t>El impacto operacional del parche determina el proceso de aplicación. Gerencia TI debe identificar, antes de aplicar cualquier parche, si este requiere o no reinicio del servicio o del sistema.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3402"/>
        <w:gridCol w:w="3402"/>
      </w:tblGrid>
      <w:tr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402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Parche SIN reinicio de servicio</w:t>
            </w:r>
          </w:p>
        </w:tc>
        <w:tc>
          <w:tcPr>
            <w:tcW w:type="dxa" w:w="3402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Parche CON reinicio de servicio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Definición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El parche se aplica en caliente (hot-patch) sin interrumpir el servicio ni el sistema operativo.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El parche requiere reiniciar el servicio, el proceso o el sistema operativo completo para activarse.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Ejemplos típicos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Actualización de definiciones de antivirus, parches de librerías en caliente, configuraciones de seguridad, parches de aplicaciones con recarga dinámica.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Actualizaciones del kernel Linux, parches de Windows que requieren reboot, actualizaciones de Java/JRE en producción, firmware de dispositivos de red.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Ventana de mantenimiento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NO requerida. Se puede aplicar durante horario laboral con notificación de 1 hora a usuarios afectados.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OBLIGATORIA. Ventana preferida: martes o miércoles entre 23:00 y 02:00 h, o según acuerdo con jefatura.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Anticipación mínima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1 hora de notificación a usuarios del sistema afectado.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48 horas para sistemas no críticos.</w:t>
              <w:br/>
              <w:t>72 horas para ERP, portal e-commerce y pasarela de pago.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Aprobación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Jefatura directa (para sistemas de producción).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Jefatura directa + CISO (para sistemas críticos: PCI, ERP, portal).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Ambiente de prueba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Prueba en sandbox mínimo 2 horas antes de producción.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Prueba en ambiente de pruebas con reinicio completo. Verificar servicios antes de ir a producción.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Plan de rollback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Snapshot previo recomendado.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Snapshot / backup diferencial OBLIGATORIO antes de iniciar la ventana (ver PROC-SGSI-03).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Frecuencia mínima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Cuando hay parches disponibles según SLA de sección 5.1.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Ventana mensual programada para parches medios y bajos. Los críticos/altos tienen ventana extraordinaria.</w:t>
            </w:r>
          </w:p>
        </w:tc>
      </w:tr>
    </w:tbl>
    <w:p>
      <w:pPr>
        <w:spacing w:before="140"/>
      </w:pPr>
      <w:r>
        <w:rPr>
          <w:b/>
          <w:color w:val="2E74B5"/>
          <w:sz w:val="22"/>
        </w:rPr>
        <w:t>5.3 Proceso de verificación post-parcheo</w:t>
      </w:r>
    </w:p>
    <w:p>
      <w:pPr>
        <w:spacing w:after="40"/>
      </w:pPr>
      <w:r>
        <w:rPr>
          <w:sz w:val="22"/>
        </w:rPr>
        <w:t>• Ejecutar pruebas funcionales básicas sobre el sistema parcheado (checklist por tipo de sistema).</w:t>
      </w:r>
    </w:p>
    <w:p>
      <w:pPr>
        <w:spacing w:after="40"/>
      </w:pPr>
      <w:r>
        <w:rPr>
          <w:sz w:val="22"/>
        </w:rPr>
        <w:t>• Verificar que los agentes de monitoreo y antivirus siguen activos.</w:t>
      </w:r>
    </w:p>
    <w:p>
      <w:pPr>
        <w:spacing w:after="40"/>
      </w:pPr>
      <w:r>
        <w:rPr>
          <w:sz w:val="22"/>
        </w:rPr>
        <w:t>• Confirmar que los logs de auditoría se siguen generando correctamente.</w:t>
      </w:r>
    </w:p>
    <w:p>
      <w:pPr>
        <w:spacing w:after="40"/>
      </w:pPr>
      <w:r>
        <w:rPr>
          <w:sz w:val="22"/>
        </w:rPr>
        <w:t>• Para parches con reinicio: verificar que todos los servicios dependientes arrancaron correctamente.</w:t>
      </w:r>
    </w:p>
    <w:p>
      <w:pPr>
        <w:spacing w:after="40"/>
      </w:pPr>
      <w:r>
        <w:rPr>
          <w:sz w:val="22"/>
        </w:rPr>
        <w:t>• Registrar en el ticket ITSM: versión antes/después, resultado de pruebas y tiempo de reinicio (si aplica).</w:t>
      </w:r>
    </w:p>
    <w:p>
      <w:pPr>
        <w:spacing w:before="140"/>
      </w:pPr>
      <w:r>
        <w:rPr>
          <w:b/>
          <w:color w:val="2E74B5"/>
          <w:sz w:val="22"/>
        </w:rPr>
        <w:t>5.4 Excepciones y sistemas no parcheables</w:t>
      </w:r>
    </w:p>
    <w:p>
      <w:pPr>
        <w:spacing w:after="40"/>
      </w:pPr>
      <w:r>
        <w:rPr>
          <w:sz w:val="22"/>
        </w:rPr>
        <w:t>Si un sistema no puede parchearse dentro del SLA (dependencia de proveedor, incompatibilidad crítica), el CISO documenta la excepción con justificación técnica, controles compensatorios (segmentación, monitoreo reforzado) y fecha máxima de resolución. Las excepciones activas se revisan mensualmente.</w:t>
      </w:r>
    </w:p>
    <w:p>
      <w:pPr>
        <w:spacing w:before="200" w:after="80"/>
      </w:pPr>
      <w:r>
        <w:rPr>
          <w:b/>
          <w:color w:val="1F3864"/>
          <w:sz w:val="26"/>
        </w:rPr>
        <w:t>6. Incumplimientos</w:t>
      </w:r>
    </w:p>
    <w:p>
      <w:pPr>
        <w:spacing w:after="40"/>
      </w:pPr>
      <w:r>
        <w:rPr>
          <w:sz w:val="22"/>
        </w:rPr>
        <w:t>Todo incumplimiento a esta política deberá ser reportado al CISO y gestionado conforme al procedimiento interno de gestión de incidentes y al reglamento interno de NovaRetail SpA. Puede dar origen a medidas disciplinarias según la normativa laboral aplicable.</w:t>
      </w:r>
    </w:p>
    <w:p>
      <w:pPr>
        <w:spacing w:before="200" w:after="80"/>
      </w:pPr>
      <w:r>
        <w:rPr>
          <w:b/>
          <w:color w:val="1F3864"/>
          <w:sz w:val="26"/>
        </w:rPr>
        <w:t>7. Documentos relacionados</w:t>
      </w:r>
    </w:p>
    <w:p>
      <w:r>
        <w:rPr>
          <w:b/>
        </w:rPr>
        <w:t xml:space="preserve">Procedimiento(s) vinculado(s): </w:t>
      </w:r>
      <w:hyperlink r:id="rIdLnk1" w:history="1">
        <w:r>
          <w:rPr>
            <w:color w:val="0563C1"/>
            <w:u w:val="single"/>
          </w:rPr>
          <w:t xml:space="preserve">PROC-SGSI-01 — Procedimiento de actualización y gestión de parches</w:t>
        </w:r>
      </w:hyperlink>
    </w:p>
    <w:p>
      <w:pPr>
        <w:spacing w:after="40"/>
      </w:pPr>
      <w:r>
        <w:rPr>
          <w:sz w:val="22"/>
        </w:rPr>
        <w:t>• PROC-SGSI-01 — Procedimiento de gestión de actualizaciones y parches</w:t>
      </w:r>
    </w:p>
    <w:p>
      <w:pPr>
        <w:spacing w:after="40"/>
      </w:pPr>
      <w:r>
        <w:rPr>
          <w:sz w:val="22"/>
        </w:rPr>
        <w:t>• PROC-SGSI-03 — Procedimiento de rollback</w:t>
      </w:r>
    </w:p>
    <w:p>
      <w:pPr>
        <w:spacing w:after="40"/>
      </w:pPr>
      <w:r>
        <w:rPr>
          <w:sz w:val="22"/>
        </w:rPr>
        <w:t>• PROC-SGSI-04 — Procedimiento de línea base de software (Ansible)</w:t>
      </w:r>
    </w:p>
    <w:p>
      <w:pPr>
        <w:spacing w:after="40"/>
      </w:pPr>
      <w:r>
        <w:rPr>
          <w:sz w:val="22"/>
        </w:rPr>
        <w:t>• POL-SGSI-09 — Política de gestión de vulnerabilidades</w:t>
      </w:r>
    </w:p>
    <w:p>
      <w:pPr>
        <w:spacing w:after="40"/>
      </w:pPr>
      <w:r>
        <w:rPr>
          <w:sz w:val="22"/>
        </w:rPr>
        <w:t>• POL-SGSI-15 — Política de línea base de software</w:t>
      </w:r>
    </w:p>
    <w:p>
      <w:pPr>
        <w:spacing w:after="40"/>
      </w:pPr>
      <w:r>
        <w:rPr>
          <w:sz w:val="22"/>
        </w:rPr>
        <w:t>• SoA – controles 8.8, 8.19 (ISO/IEC 27001:2022)</w:t>
      </w:r>
    </w:p>
    <w:p>
      <w:pPr>
        <w:spacing w:after="40"/>
      </w:pPr>
      <w:r>
        <w:rPr>
          <w:sz w:val="22"/>
        </w:rPr>
        <w:t>• Matriz de riesgos (R-02, R-04, R-14, R-15)</w:t>
      </w:r>
    </w:p>
    <w:p>
      <w:pPr>
        <w:spacing w:before="200" w:after="80"/>
      </w:pPr>
      <w:r>
        <w:rPr>
          <w:b/>
          <w:color w:val="1F3864"/>
          <w:sz w:val="26"/>
        </w:rPr>
        <w:t>8. Control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Fecha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Descripción del cambio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Responsable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22-04-2026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Emisión inicial del documento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Equipo SGSI NovaRetail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22-04-2026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Se añade sección 5.2 con diferenciación explícita parches con/sin reinicio, tiempos de anticipación, aprobaciones y frecuencia por tipo.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Equipo SGSI NovaRetail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Lnk1" Type="http://schemas.openxmlformats.org/officeDocument/2006/relationships/hyperlink" Target="../02-procedimientos/PROC-SGSI-01%20-%20Procedimiento%20de%20actualizaci%C3%B3n%20y%20gesti%C3%B3n%20de%20parches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DBF41B6-4F5A-4A37-B472-9F7AE8C8566A}"/>
</file>

<file path=customXml/itemProps3.xml><?xml version="1.0" encoding="utf-8"?>
<ds:datastoreItem xmlns:ds="http://schemas.openxmlformats.org/officeDocument/2006/customXml" ds:itemID="{6A8D927E-D931-476F-A23F-F72F912B2A86}"/>
</file>

<file path=customXml/itemProps4.xml><?xml version="1.0" encoding="utf-8"?>
<ds:datastoreItem xmlns:ds="http://schemas.openxmlformats.org/officeDocument/2006/customXml" ds:itemID="{7582E5BE-0071-4788-9C58-6B65003DEE64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