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 y=f(x).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x1 и x2 из 6.3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Table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No 6, переходим в него и создадим файл lab6-1.asm (рис. 1)</w:t>
      </w:r>
    </w:p>
    <w:p>
      <w:pPr>
        <w:pStyle w:val="CaptionedFigure"/>
      </w:pPr>
      <w:bookmarkStart w:id="27" w:name="fig:001"/>
      <w:r>
        <w:drawing>
          <wp:inline>
            <wp:extent cx="5334000" cy="743885"/>
            <wp:effectExtent b="0" l="0" r="0" t="0"/>
            <wp:docPr descr="Рис. 1: Создание каталога для программ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 для программ</w:t>
      </w:r>
    </w:p>
    <w:p>
      <w:pPr>
        <w:numPr>
          <w:ilvl w:val="0"/>
          <w:numId w:val="1002"/>
        </w:numPr>
        <w:pStyle w:val="Compact"/>
      </w:pPr>
      <w:r>
        <w:t xml:space="preserve">Введем в файл текст программы из листнинга, с помощью команды mc (рис. 2)</w:t>
      </w:r>
    </w:p>
    <w:p>
      <w:pPr>
        <w:pStyle w:val="CaptionedFigure"/>
      </w:pPr>
      <w:bookmarkStart w:id="31" w:name="fig:002"/>
      <w:r>
        <w:drawing>
          <wp:inline>
            <wp:extent cx="5334000" cy="2867460"/>
            <wp:effectExtent b="0" l="0" r="0" t="0"/>
            <wp:docPr descr="Рис. 2: Ввод текста программ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Ввод текста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Создадим исполняемый файл и запустим его (рис. 3)</w:t>
      </w:r>
    </w:p>
    <w:p>
      <w:pPr>
        <w:pStyle w:val="CaptionedFigure"/>
      </w:pPr>
      <w:bookmarkStart w:id="35" w:name="fig:003"/>
      <w:r>
        <w:drawing>
          <wp:inline>
            <wp:extent cx="5334000" cy="682873"/>
            <wp:effectExtent b="0" l="0" r="0" t="0"/>
            <wp:docPr descr="Рис. 3: Запуск испол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(нужно убрать кавычки) (рис. 4)</w:t>
      </w:r>
    </w:p>
    <w:p>
      <w:pPr>
        <w:pStyle w:val="CaptionedFigure"/>
      </w:pPr>
      <w:bookmarkStart w:id="39" w:name="fig:004"/>
      <w:r>
        <w:drawing>
          <wp:inline>
            <wp:extent cx="4241800" cy="749300"/>
            <wp:effectExtent b="0" l="0" r="0" t="0"/>
            <wp:docPr descr="Рис. 4: Изменение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Изменение текста программы</w:t>
      </w:r>
    </w:p>
    <w:p>
      <w:pPr>
        <w:numPr>
          <w:ilvl w:val="0"/>
          <w:numId w:val="1005"/>
        </w:numPr>
        <w:pStyle w:val="Compact"/>
      </w:pPr>
      <w:r>
        <w:t xml:space="preserve">Запускаем файл lab6-1. Как и в предыдущем случае, при исполнее программы мы не получили число 10. Символ под номером 10 в таблице ASCII выглядит так. Он не отобразился на экране. (рис. 5) (рис. 6)</w:t>
      </w:r>
    </w:p>
    <w:p>
      <w:pPr>
        <w:pStyle w:val="CaptionedFigure"/>
      </w:pPr>
      <w:bookmarkStart w:id="43" w:name="fig:005"/>
      <w:r>
        <w:drawing>
          <wp:inline>
            <wp:extent cx="5334000" cy="1152881"/>
            <wp:effectExtent b="0" l="0" r="0" t="0"/>
            <wp:docPr descr="Рис. 5: Запуск файла lab6-1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Запуск файла lab6-1</w:t>
      </w:r>
    </w:p>
    <w:p>
      <w:pPr>
        <w:pStyle w:val="CaptionedFigure"/>
      </w:pPr>
      <w:bookmarkStart w:id="47" w:name="fig:006"/>
      <w:r>
        <w:drawing>
          <wp:inline>
            <wp:extent cx="2400300" cy="1079500"/>
            <wp:effectExtent b="0" l="0" r="0" t="0"/>
            <wp:docPr descr="Рис. 6: Символ 10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Символ 10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lab6-2.asm в каталоге ~/work/arch-pc/lab06 и вводим в него текст программы из листинга 7.2. (рис. 7) (рис. 8)</w:t>
      </w:r>
    </w:p>
    <w:p>
      <w:pPr>
        <w:pStyle w:val="CaptionedFigure"/>
      </w:pPr>
      <w:bookmarkStart w:id="51" w:name="fig:007"/>
      <w:r>
        <w:drawing>
          <wp:inline>
            <wp:extent cx="5334000" cy="649653"/>
            <wp:effectExtent b="0" l="0" r="0" t="0"/>
            <wp:docPr descr="Рис. 7: Создание файла lab6-2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Создание файла lab6-2</w:t>
      </w:r>
    </w:p>
    <w:p>
      <w:pPr>
        <w:pStyle w:val="CaptionedFigure"/>
      </w:pPr>
      <w:bookmarkStart w:id="55" w:name="fig:008"/>
      <w:r>
        <w:drawing>
          <wp:inline>
            <wp:extent cx="4914900" cy="3898900"/>
            <wp:effectExtent b="0" l="0" r="0" t="0"/>
            <wp:docPr descr="Рис. 8: Ввод текста в файл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Ввод текста в файл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его (рис. 9)</w:t>
      </w:r>
    </w:p>
    <w:p>
      <w:pPr>
        <w:pStyle w:val="CaptionedFigure"/>
      </w:pPr>
      <w:bookmarkStart w:id="59" w:name="fig:009"/>
      <w:r>
        <w:drawing>
          <wp:inline>
            <wp:extent cx="5334000" cy="787363"/>
            <wp:effectExtent b="0" l="0" r="0" t="0"/>
            <wp:docPr descr="Рис. 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Снова изменим текст программы (нужно убрать кавычки) (рис. 10)</w:t>
      </w:r>
    </w:p>
    <w:p>
      <w:pPr>
        <w:pStyle w:val="CaptionedFigure"/>
      </w:pPr>
      <w:bookmarkStart w:id="63" w:name="fig:010"/>
      <w:r>
        <w:drawing>
          <wp:inline>
            <wp:extent cx="3035300" cy="2908300"/>
            <wp:effectExtent b="0" l="0" r="0" t="0"/>
            <wp:docPr descr="Рис. 10: Изменение текста программ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Изменение текста программы</w:t>
      </w:r>
    </w:p>
    <w:p>
      <w:pPr>
        <w:numPr>
          <w:ilvl w:val="0"/>
          <w:numId w:val="1009"/>
        </w:numPr>
        <w:pStyle w:val="Compact"/>
      </w:pPr>
      <w:r>
        <w:t xml:space="preserve">Создадим исполняемый файл и запустим его. В результате на экран выводится 10 (рис. 11)</w:t>
      </w:r>
    </w:p>
    <w:p>
      <w:pPr>
        <w:pStyle w:val="CaptionedFigure"/>
      </w:pPr>
      <w:bookmarkStart w:id="67" w:name="fig:011"/>
      <w:r>
        <w:drawing>
          <wp:inline>
            <wp:extent cx="5334000" cy="923046"/>
            <wp:effectExtent b="0" l="0" r="0" t="0"/>
            <wp:docPr descr="Рис. 11: Запуск исполняемого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Запуск исполняемого файла</w:t>
      </w:r>
    </w:p>
    <w:p>
      <w:pPr>
        <w:numPr>
          <w:ilvl w:val="0"/>
          <w:numId w:val="1010"/>
        </w:numPr>
        <w:pStyle w:val="Compact"/>
      </w:pPr>
      <w:r>
        <w:t xml:space="preserve">Заменим функцию iprintLF на iprint. Создаем исполняемый файл и запустим его. Отличие в том, что LF отвечает за пропуск строки. Между строками нет разделения (рис. 12) (рис. 13)</w:t>
      </w:r>
    </w:p>
    <w:p>
      <w:pPr>
        <w:pStyle w:val="CaptionedFigure"/>
      </w:pPr>
      <w:bookmarkStart w:id="71" w:name="fig:012"/>
      <w:r>
        <w:drawing>
          <wp:inline>
            <wp:extent cx="3454400" cy="3416300"/>
            <wp:effectExtent b="0" l="0" r="0" t="0"/>
            <wp:docPr descr="Рис. 12: Меняем текст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Меняем текст</w:t>
      </w:r>
    </w:p>
    <w:p>
      <w:pPr>
        <w:pStyle w:val="CaptionedFigure"/>
      </w:pPr>
      <w:bookmarkStart w:id="75" w:name="fig:013"/>
      <w:r>
        <w:drawing>
          <wp:inline>
            <wp:extent cx="5334000" cy="852303"/>
            <wp:effectExtent b="0" l="0" r="0" t="0"/>
            <wp:docPr descr="Рис. 13: Запускаем измененный файл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Запускаем измененный файл</w:t>
      </w:r>
    </w:p>
    <w:p>
      <w:pPr>
        <w:numPr>
          <w:ilvl w:val="0"/>
          <w:numId w:val="1011"/>
        </w:numPr>
        <w:pStyle w:val="Compact"/>
      </w:pPr>
      <w:r>
        <w:t xml:space="preserve">Создаем файл lab6-3.asm в каталоге ~/work/arch-pc/lab06 (рис. 14)</w:t>
      </w:r>
    </w:p>
    <w:p>
      <w:pPr>
        <w:pStyle w:val="CaptionedFigure"/>
      </w:pPr>
      <w:bookmarkStart w:id="79" w:name="fig:014"/>
      <w:r>
        <w:drawing>
          <wp:inline>
            <wp:extent cx="5334000" cy="649527"/>
            <wp:effectExtent b="0" l="0" r="0" t="0"/>
            <wp:docPr descr="Рис. 14: Создание файла lab6-3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Создание файла lab6-3</w:t>
      </w:r>
    </w:p>
    <w:p>
      <w:pPr>
        <w:numPr>
          <w:ilvl w:val="0"/>
          <w:numId w:val="1012"/>
        </w:numPr>
        <w:pStyle w:val="Compact"/>
      </w:pPr>
      <w:r>
        <w:t xml:space="preserve">Вводим в файл lab6-3.asm текст из листинга 3 (рис. 15)</w:t>
      </w:r>
    </w:p>
    <w:p>
      <w:pPr>
        <w:pStyle w:val="CaptionedFigure"/>
      </w:pPr>
      <w:bookmarkStart w:id="83" w:name="fig:015"/>
      <w:r>
        <w:drawing>
          <wp:inline>
            <wp:extent cx="5334000" cy="6703298"/>
            <wp:effectExtent b="0" l="0" r="0" t="0"/>
            <wp:docPr descr="Рис. 15: Вводим текст в файл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Вводим текст в файл</w:t>
      </w:r>
    </w:p>
    <w:p>
      <w:pPr>
        <w:numPr>
          <w:ilvl w:val="0"/>
          <w:numId w:val="1013"/>
        </w:numPr>
        <w:pStyle w:val="Compact"/>
      </w:pPr>
      <w:r>
        <w:t xml:space="preserve">Запускаем файл lab6-3.asm (рис. 16)</w:t>
      </w:r>
    </w:p>
    <w:p>
      <w:pPr>
        <w:pStyle w:val="CaptionedFigure"/>
      </w:pPr>
      <w:bookmarkStart w:id="87" w:name="fig:016"/>
      <w:r>
        <w:drawing>
          <wp:inline>
            <wp:extent cx="5334000" cy="900066"/>
            <wp:effectExtent b="0" l="0" r="0" t="0"/>
            <wp:docPr descr="Рис. 16: Запуск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Запуск файла</w:t>
      </w:r>
    </w:p>
    <w:p>
      <w:pPr>
        <w:numPr>
          <w:ilvl w:val="0"/>
          <w:numId w:val="1014"/>
        </w:numPr>
        <w:pStyle w:val="Compact"/>
      </w:pPr>
      <w:r>
        <w:t xml:space="preserve">Изменим текст программы чтобы получить другой результат. Проверим правильность нашей работы путем запуска измененного файла (рис. 17)</w:t>
      </w:r>
    </w:p>
    <w:p>
      <w:pPr>
        <w:pStyle w:val="CaptionedFigure"/>
      </w:pPr>
      <w:bookmarkStart w:id="91" w:name="fig:017"/>
      <w:r>
        <w:drawing>
          <wp:inline>
            <wp:extent cx="5334000" cy="900066"/>
            <wp:effectExtent b="0" l="0" r="0" t="0"/>
            <wp:docPr descr="Рис. 17: Запуск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файла</w:t>
      </w:r>
    </w:p>
    <w:p>
      <w:pPr>
        <w:numPr>
          <w:ilvl w:val="0"/>
          <w:numId w:val="1015"/>
        </w:numPr>
        <w:pStyle w:val="Compact"/>
      </w:pPr>
      <w:r>
        <w:t xml:space="preserve">Создадим файл variant.asm в каталоге ~/work/arch-pc/lab06 (рис. 18)</w:t>
      </w:r>
    </w:p>
    <w:p>
      <w:pPr>
        <w:pStyle w:val="CaptionedFigure"/>
      </w:pPr>
      <w:bookmarkStart w:id="95" w:name="fig:018"/>
      <w:r>
        <w:drawing>
          <wp:inline>
            <wp:extent cx="5334000" cy="378496"/>
            <wp:effectExtent b="0" l="0" r="0" t="0"/>
            <wp:docPr descr="Рис. 18: Создание файла variant.as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Создание файла variant.asm</w:t>
      </w:r>
    </w:p>
    <w:p>
      <w:pPr>
        <w:numPr>
          <w:ilvl w:val="0"/>
          <w:numId w:val="1016"/>
        </w:numPr>
        <w:pStyle w:val="Compact"/>
      </w:pPr>
      <w:r>
        <w:t xml:space="preserve">Вводим в файл текст из листинга 4 и запускаем файл (рис. 19)</w:t>
      </w:r>
    </w:p>
    <w:p>
      <w:pPr>
        <w:pStyle w:val="CaptionedFigure"/>
      </w:pPr>
      <w:bookmarkStart w:id="99" w:name="fig:019"/>
      <w:r>
        <w:drawing>
          <wp:inline>
            <wp:extent cx="5334000" cy="1541099"/>
            <wp:effectExtent b="0" l="0" r="0" t="0"/>
            <wp:docPr descr="Рис. 19: Запуск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Запуск файла</w:t>
      </w:r>
    </w:p>
    <w:p>
      <w:pPr>
        <w:pStyle w:val="BodyText"/>
      </w:pPr>
      <w:r>
        <w:t xml:space="preserve">#Ответы на вопросы</w:t>
      </w:r>
    </w:p>
    <w:p>
      <w:pPr>
        <w:numPr>
          <w:ilvl w:val="0"/>
          <w:numId w:val="101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Строчка 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 отвечает за вывод сообщения.</w:t>
      </w:r>
    </w:p>
    <w:p>
      <w:pPr>
        <w:numPr>
          <w:ilvl w:val="0"/>
          <w:numId w:val="1017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nasm mov ecx, x mov edx, 80 call sread</w:t>
      </w:r>
    </w:p>
    <w:p>
      <w:pPr>
        <w:numPr>
          <w:ilvl w:val="0"/>
          <w:numId w:val="101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Функция call atoi преобразует ascii-код символа в целое число и записывает результат в регистр eax.</w:t>
      </w:r>
    </w:p>
    <w:p>
      <w:pPr>
        <w:numPr>
          <w:ilvl w:val="0"/>
          <w:numId w:val="1017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</w:p>
    <w:p>
      <w:pPr>
        <w:numPr>
          <w:ilvl w:val="0"/>
          <w:numId w:val="1017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Остаток записывается в регистр ah.</w:t>
      </w:r>
    </w:p>
    <w:p>
      <w:pPr>
        <w:numPr>
          <w:ilvl w:val="0"/>
          <w:numId w:val="101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Команда inc edx увеличивает значение регистра edx на 1.</w:t>
      </w:r>
    </w:p>
    <w:p>
      <w:pPr>
        <w:numPr>
          <w:ilvl w:val="0"/>
          <w:numId w:val="1017"/>
        </w:numPr>
      </w:pPr>
      <w:r>
        <w:t xml:space="preserve">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100"/>
    <w:bookmarkStart w:id="11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NASM.</w:t>
      </w:r>
    </w:p>
    <w:bookmarkStart w:id="110" w:name="refs"/>
    <w:bookmarkStart w:id="10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0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02"/>
    <w:bookmarkStart w:id="10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4"/>
    <w:bookmarkStart w:id="10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05"/>
    <w:bookmarkStart w:id="10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0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07"/>
    <w:bookmarkStart w:id="10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08"/>
    <w:bookmarkStart w:id="10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09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03" Target="http://www.amazon.com/Learning-bash-Shell-Programming-Nutshell/dp/0596009658" TargetMode="External" /><Relationship Type="http://schemas.openxmlformats.org/officeDocument/2006/relationships/hyperlink" Id="rId101" Target="https://www.gnu.org/software/bash/manual/" TargetMode="External" /><Relationship Type="http://schemas.openxmlformats.org/officeDocument/2006/relationships/hyperlink" Id="rId10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3" Target="http://www.amazon.com/Learning-bash-Shell-Programming-Nutshell/dp/0596009658" TargetMode="External" /><Relationship Type="http://schemas.openxmlformats.org/officeDocument/2006/relationships/hyperlink" Id="rId101" Target="https://www.gnu.org/software/bash/manual/" TargetMode="External" /><Relationship Type="http://schemas.openxmlformats.org/officeDocument/2006/relationships/hyperlink" Id="rId10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Савурская Полина Александровна</dc:creator>
  <dc:language>ru-RU</dc:language>
  <cp:keywords/>
  <dcterms:created xsi:type="dcterms:W3CDTF">2022-12-08T13:13:48Z</dcterms:created>
  <dcterms:modified xsi:type="dcterms:W3CDTF">2022-12-08T13:13:48Z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