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Electrification of Australia: Executive Brief and 10-Year Outlook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Current state: National coal generation is now under 50 percent, with strong state divergence and high renewable shares in Tasmania and South Australia. [4]</w:t>
      </w:r>
    </w:p>
    <w:p>
      <w:pPr>
        <w:pStyle w:val="ListBullet"/>
      </w:pPr>
      <w:r>
        <w:t>Mobility: EVs reached about 9.65 percent of new car sales in 2024, around 114,000 sales. [1]</w:t>
      </w:r>
    </w:p>
    <w:p>
      <w:pPr>
        <w:pStyle w:val="ListBullet"/>
      </w:pPr>
      <w:r>
        <w:t>Trajectory: AEMO expects around 90 percent of NEM coal capacity to retire before 2035, replaced by renewables firmed with storage and gas. [3]</w:t>
      </w:r>
    </w:p>
    <w:p>
      <w:pPr>
        <w:pStyle w:val="ListBullet"/>
      </w:pPr>
      <w:r>
        <w:t>Outlook: By 2035, EV sales are likely above 70 percent, with renewables dominant in generation under most scenarios. [2][3]</w:t>
      </w:r>
    </w:p>
    <w:p>
      <w:pPr>
        <w:pStyle w:val="ListBullet"/>
      </w:pPr>
      <w:r>
        <w:t>Household bills: Grid only households remain most exposed to tariffs and network costs, while solar and solar plus EV households see the strongest bill resilience. [5][7]</w:t>
      </w:r>
    </w:p>
    <w:p>
      <w:pPr>
        <w:pStyle w:val="Heading1"/>
      </w:pPr>
      <w:r>
        <w:t>How Australia Reached the Current State</w:t>
      </w:r>
    </w:p>
    <w:p>
      <w:pPr>
        <w:pStyle w:val="Heading2"/>
      </w:pPr>
      <w:r>
        <w:t>Policy and market reforms</w:t>
      </w:r>
    </w:p>
    <w:p>
      <w:pPr>
        <w:pStyle w:val="ListBullet"/>
      </w:pPr>
      <w:r>
        <w:t>National and state targets now anchor planning, including the 82 percent renewables target by 2030 and net zero by 2050. [3]</w:t>
      </w:r>
    </w:p>
    <w:p>
      <w:pPr>
        <w:pStyle w:val="ListBullet"/>
      </w:pPr>
      <w:r>
        <w:t>AEMO’s Integrated System Plan sets the optimal development path for transmission and renewable energy zones. [3]</w:t>
      </w:r>
    </w:p>
    <w:p>
      <w:pPr>
        <w:pStyle w:val="Heading2"/>
      </w:pPr>
      <w:r>
        <w:t>Technology cost curves and adoption</w:t>
      </w:r>
    </w:p>
    <w:p>
      <w:pPr>
        <w:pStyle w:val="ListBullet"/>
      </w:pPr>
      <w:r>
        <w:t>Rooftop PV scale up continues, with cumulative capacity around 24.4 GW by H1 2024. [5]</w:t>
      </w:r>
    </w:p>
    <w:p>
      <w:pPr>
        <w:pStyle w:val="ListBullet"/>
      </w:pPr>
      <w:r>
        <w:t>Battery uptake is increasing, with nearly 30,000 units sold in H1 2024. [5]</w:t>
      </w:r>
    </w:p>
    <w:p>
      <w:pPr>
        <w:pStyle w:val="Heading2"/>
      </w:pPr>
      <w:r>
        <w:t>Infrastructure build out</w:t>
      </w:r>
    </w:p>
    <w:p>
      <w:pPr>
        <w:pStyle w:val="ListBullet"/>
      </w:pPr>
      <w:r>
        <w:t>Utility scale generation and storage additions are accelerating, supported by major transmission projects. [3]</w:t>
      </w:r>
    </w:p>
    <w:p>
      <w:pPr>
        <w:pStyle w:val="Heading2"/>
      </w:pPr>
      <w:r>
        <w:t>Consumer adoption</w:t>
      </w:r>
    </w:p>
    <w:p>
      <w:pPr>
        <w:pStyle w:val="ListBullet"/>
      </w:pPr>
      <w:r>
        <w:t>Household energy use fell 3.4 percent in 2023 to 24, driven by lower gas usage, while electricity use was flat. [6]</w:t>
      </w:r>
    </w:p>
    <w:p>
      <w:pPr>
        <w:pStyle w:val="Heading1"/>
      </w:pPr>
      <w:r>
        <w:t>Current State Baseline</w:t>
      </w:r>
    </w:p>
    <w:p>
      <w:pPr>
        <w:pStyle w:val="Heading2"/>
      </w:pPr>
      <w:r>
        <w:t>Power generation mix 2024</w:t>
      </w:r>
    </w:p>
    <w:p>
      <w:pPr>
        <w:pStyle w:val="ListBullet"/>
      </w:pPr>
      <w:r>
        <w:t>Australia total: coal 45.0 percent, gas 17.2 percent, hydro 5.0 percent, other renewables 31.1 percent. [4]</w:t>
      </w:r>
    </w:p>
    <w:p>
      <w:pPr>
        <w:pStyle w:val="ListBullet"/>
      </w:pPr>
      <w:r>
        <w:t>State divergence: Tasmania 95 percent renewables, South Australia 74 percent renewables, NSW, VIC and QLD above 56 percent coal. [4]</w:t>
      </w:r>
    </w:p>
    <w:p>
      <w:pPr>
        <w:pStyle w:val="Heading2"/>
      </w:pPr>
      <w:r>
        <w:t>Mobility</w:t>
      </w:r>
    </w:p>
    <w:p>
      <w:pPr>
        <w:pStyle w:val="ListBullet"/>
      </w:pPr>
      <w:r>
        <w:t>EVs reached 9.65 percent of new car sales in 2024, with roughly 114,000 BEV and PHEV sales. [1]</w:t>
      </w:r>
    </w:p>
    <w:p>
      <w:pPr>
        <w:pStyle w:val="Heading2"/>
      </w:pPr>
      <w:r>
        <w:t>Households</w:t>
      </w:r>
    </w:p>
    <w:p>
      <w:pPr>
        <w:pStyle w:val="ListBullet"/>
      </w:pPr>
      <w:r>
        <w:t>Rooftop PV supplied 11.3 percent of national generation in H1 2024. [5]</w:t>
      </w:r>
    </w:p>
    <w:p>
      <w:pPr>
        <w:pStyle w:val="ListBullet"/>
      </w:pPr>
      <w:r>
        <w:t>Cumulative rooftop PV capacity reached around 24.4 GW by H1 2024. [5]</w:t>
      </w:r>
    </w:p>
    <w:p>
      <w:pPr>
        <w:pStyle w:val="ListBullet"/>
      </w:pPr>
      <w:r>
        <w:t>Cumulative household batteries exceeded 140,000 by Q2 2024. [5]</w:t>
      </w:r>
    </w:p>
    <w:p>
      <w:pPr>
        <w:pStyle w:val="Heading1"/>
      </w:pPr>
      <w:r>
        <w:t>Forecast 2025 to 2035</w:t>
      </w:r>
    </w:p>
    <w:p>
      <w:pPr>
        <w:pStyle w:val="Heading2"/>
      </w:pPr>
      <w:r>
        <w:t>Power generation</w:t>
      </w:r>
    </w:p>
    <w:p>
      <w:pPr>
        <w:pStyle w:val="ListBullet"/>
      </w:pPr>
      <w:r>
        <w:t>Coal retirements accelerate, with around 90 percent of NEM coal capacity retired by 2035. [3]</w:t>
      </w:r>
    </w:p>
    <w:p>
      <w:pPr>
        <w:pStyle w:val="ListBullet"/>
      </w:pPr>
      <w:r>
        <w:t>Renewables dominate, firmed by storage and flexible gas. [3]</w:t>
      </w:r>
    </w:p>
    <w:p>
      <w:pPr>
        <w:pStyle w:val="ListBullet"/>
      </w:pPr>
      <w:r>
        <w:t>Indicative range: renewables likely 70 to 82 percent by 2030 and 80 to 95 percent by 2035, depending on delivery pace and policy continuity. [3]</w:t>
      </w:r>
    </w:p>
    <w:p>
      <w:pPr>
        <w:pStyle w:val="Heading2"/>
      </w:pPr>
      <w:r>
        <w:t>Mobility electrification</w:t>
      </w:r>
    </w:p>
    <w:p>
      <w:pPr>
        <w:pStyle w:val="ListBullet"/>
      </w:pPr>
      <w:r>
        <w:t>EV sales share projected at around 56 to 60 percent by 2030 under current scenarios. [2]</w:t>
      </w:r>
    </w:p>
    <w:p>
      <w:pPr>
        <w:pStyle w:val="ListBullet"/>
      </w:pPr>
      <w:r>
        <w:t>By 2035, EV sales share likely 70 to 100 percent depending on policy strength and cost trends. [2]</w:t>
      </w:r>
    </w:p>
    <w:p>
      <w:pPr>
        <w:pStyle w:val="Heading2"/>
      </w:pPr>
      <w:r>
        <w:t>Grid and system impacts</w:t>
      </w:r>
    </w:p>
    <w:p>
      <w:pPr>
        <w:pStyle w:val="ListBullet"/>
      </w:pPr>
      <w:r>
        <w:t>Peak demand shifts as transport and household loads electrify. [3]</w:t>
      </w:r>
    </w:p>
    <w:p>
      <w:pPr>
        <w:pStyle w:val="ListBullet"/>
      </w:pPr>
      <w:r>
        <w:t>Consumer energy resources orchestration becomes critical for reliability and cost control. [3]</w:t>
      </w:r>
    </w:p>
    <w:p>
      <w:pPr>
        <w:pStyle w:val="Heading1"/>
      </w:pPr>
      <w:r>
        <w:t>Household Bill Impacts 2024 to 2035</w:t>
      </w:r>
    </w:p>
    <w:p>
      <w:pPr>
        <w:pStyle w:val="Heading2"/>
      </w:pPr>
      <w:r>
        <w:t>Baseline reference</w:t>
      </w:r>
    </w:p>
    <w:p>
      <w:pPr>
        <w:pStyle w:val="ListBullet"/>
      </w:pPr>
      <w:r>
        <w:t>Default Market Offer annual prices for 2024 to 25 range from about 1,810 to 2,513 dollars depending on region and usage assumptions. [7]</w:t>
      </w:r>
    </w:p>
    <w:p>
      <w:pPr>
        <w:pStyle w:val="Heading2"/>
      </w:pPr>
      <w:r>
        <w:t>Archetype 1: Grid only household</w:t>
      </w:r>
    </w:p>
    <w:p>
      <w:pPr>
        <w:pStyle w:val="ListBullet"/>
      </w:pPr>
      <w:r>
        <w:t>Most exposed to network and tariff changes, with wholesale volatility dampened as renewables rise. [3][7]</w:t>
      </w:r>
    </w:p>
    <w:p>
      <w:pPr>
        <w:pStyle w:val="ListBullet"/>
      </w:pPr>
      <w:r>
        <w:t>Likely real terms outcome: flat to modest increases unless network costs are contained.</w:t>
      </w:r>
    </w:p>
    <w:p>
      <w:pPr>
        <w:pStyle w:val="Heading2"/>
      </w:pPr>
      <w:r>
        <w:t>Archetype 2: Solar only household</w:t>
      </w:r>
    </w:p>
    <w:p>
      <w:pPr>
        <w:pStyle w:val="ListBullet"/>
      </w:pPr>
      <w:r>
        <w:t>Material bill reductions relative to grid only, with higher sensitivity to export limits and time of use pricing. [5][7]</w:t>
      </w:r>
    </w:p>
    <w:p>
      <w:pPr>
        <w:pStyle w:val="ListBullet"/>
      </w:pPr>
      <w:r>
        <w:t>Savings depend on self consumption and system size alignment.</w:t>
      </w:r>
    </w:p>
    <w:p>
      <w:pPr>
        <w:pStyle w:val="Heading2"/>
      </w:pPr>
      <w:r>
        <w:t>Archetype 3: Solar plus EV household</w:t>
      </w:r>
    </w:p>
    <w:p>
      <w:pPr>
        <w:pStyle w:val="ListBullet"/>
      </w:pPr>
      <w:r>
        <w:t>Lowest net bills when charging is shifted to daytime solar or off peak tariffs. [3][5]</w:t>
      </w:r>
    </w:p>
    <w:p>
      <w:pPr>
        <w:pStyle w:val="ListBullet"/>
      </w:pPr>
      <w:r>
        <w:t>Smart charging behaviour is the key savings driver.</w:t>
      </w:r>
    </w:p>
    <w:p>
      <w:pPr>
        <w:pStyle w:val="Heading1"/>
      </w:pPr>
      <w:r>
        <w:t>Risks, Constraints and Watchpoints</w:t>
      </w:r>
    </w:p>
    <w:p>
      <w:pPr>
        <w:pStyle w:val="ListBullet"/>
      </w:pPr>
      <w:r>
        <w:t>Transmission delays can constrain renewables connection. [3]</w:t>
      </w:r>
    </w:p>
    <w:p>
      <w:pPr>
        <w:pStyle w:val="ListBullet"/>
      </w:pPr>
      <w:r>
        <w:t>Supply chain and workforce constraints can elevate costs and delay projects. [3]</w:t>
      </w:r>
    </w:p>
    <w:p>
      <w:pPr>
        <w:pStyle w:val="ListBullet"/>
      </w:pPr>
      <w:r>
        <w:t>Policy volatility may slow EV uptake and infrastructure investment. [1][2]</w:t>
      </w:r>
    </w:p>
    <w:p>
      <w:pPr>
        <w:pStyle w:val="ListBullet"/>
      </w:pPr>
      <w:r>
        <w:t>Affordability pressures may persist for grid only households through network cost pass throughs. [3][7]</w:t>
      </w:r>
    </w:p>
    <w:p>
      <w:pPr>
        <w:pStyle w:val="Heading1"/>
      </w:pPr>
      <w:r>
        <w:t>Implications and Recommendations</w:t>
      </w:r>
    </w:p>
    <w:p>
      <w:pPr>
        <w:pStyle w:val="Heading2"/>
      </w:pPr>
      <w:r>
        <w:t>Government</w:t>
      </w:r>
    </w:p>
    <w:p>
      <w:pPr>
        <w:pStyle w:val="ListBullet"/>
      </w:pPr>
      <w:r>
        <w:t>Prioritise transmission delivery certainty and stable policy settings for EVs and firming investment. [3]</w:t>
      </w:r>
    </w:p>
    <w:p>
      <w:pPr>
        <w:pStyle w:val="ListBullet"/>
      </w:pPr>
      <w:r>
        <w:t>Protect vulnerable households as tariff structures evolve. [7]</w:t>
      </w:r>
    </w:p>
    <w:p>
      <w:pPr>
        <w:pStyle w:val="Heading2"/>
      </w:pPr>
      <w:r>
        <w:t>Utilities and market bodies</w:t>
      </w:r>
    </w:p>
    <w:p>
      <w:pPr>
        <w:pStyle w:val="ListBullet"/>
      </w:pPr>
      <w:r>
        <w:t>Accelerate consumer energy resources orchestration and tariff innovation. [3]</w:t>
      </w:r>
    </w:p>
    <w:p>
      <w:pPr>
        <w:pStyle w:val="Heading2"/>
      </w:pPr>
      <w:r>
        <w:t>Households</w:t>
      </w:r>
    </w:p>
    <w:p>
      <w:pPr>
        <w:pStyle w:val="ListBullet"/>
      </w:pPr>
      <w:r>
        <w:t>Prioritise load shifting, energy efficiency and smart charging to capture bill benefits.</w:t>
      </w:r>
    </w:p>
    <w:p>
      <w:pPr>
        <w:pStyle w:val="Heading1"/>
      </w:pPr>
      <w:r>
        <w:t>Sources</w:t>
      </w:r>
    </w:p>
    <w:p>
      <w:pPr>
        <w:pStyle w:val="ListNumber"/>
      </w:pPr>
      <w:r>
        <w:t>[1] Electric Vehicle Council, 2024 EV sales record: https://electricvehiclecouncil.com.au/uncategorized/2024-sets-new-record-for-ev-sales-in-australia/</w:t>
      </w:r>
    </w:p>
    <w:p>
      <w:pPr>
        <w:pStyle w:val="ListNumber"/>
      </w:pPr>
      <w:r>
        <w:t>[2] CSIRO for AEMO, Electric vehicle projections 2024: https://www.aemo.com.au/-/media/files/major-publications/isp/2025/stage-2/electric-vehicle-projections-2024.pdf</w:t>
      </w:r>
    </w:p>
    <w:p>
      <w:pPr>
        <w:pStyle w:val="ListNumber"/>
      </w:pPr>
      <w:r>
        <w:t>[3] AEMO, 2024 Integrated System Plan: https://www.aemo.com.au/-/media/files/major-publications/isp/2024/2024-integrated-system-plan-isp.pdf</w:t>
      </w:r>
    </w:p>
    <w:p>
      <w:pPr>
        <w:pStyle w:val="ListNumber"/>
      </w:pPr>
      <w:r>
        <w:t>[4] DCCEEW, Australian electricity generation fuel mix 2024: https://www.energy.gov.au/energy-data/australian-energy-statistics/data-charts/australian-electricity-generation-fuel-mix-calendar-year-2024</w:t>
      </w:r>
    </w:p>
    <w:p>
      <w:pPr>
        <w:pStyle w:val="ListNumber"/>
      </w:pPr>
      <w:r>
        <w:t>[5] Clean Energy Council, Rooftop solar and storage report H1 2024: https://cleanenergycouncil.org.au/getmedia/290496f3-a240-4a12-bc63-7b374f8c71c4/rooftop-solar-and-storage-report_jan-june-2024.pdf</w:t>
      </w:r>
    </w:p>
    <w:p>
      <w:pPr>
        <w:pStyle w:val="ListNumber"/>
      </w:pPr>
      <w:r>
        <w:t>[6] ABS, Energy Account 2023-24 media release: https://www.abs.gov.au/media-centre/media-releases/decrease-domestic-energy-use-driven-households</w:t>
      </w:r>
    </w:p>
    <w:p>
      <w:pPr>
        <w:pStyle w:val="ListNumber"/>
      </w:pPr>
      <w:r>
        <w:t>[7] AER, Default market offer prices 2024-25: https://www.aer.gov.au/system/files/2024-06/AER%20-%20Revised%20final%20determination%20-%20Default%20market%20offer%20prices%202024-25%20-%203%20June%202024.pdf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