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u4ivbqiztcy" w:id="0"/>
      <w:bookmarkEnd w:id="0"/>
      <w:r w:rsidDel="00000000" w:rsidR="00000000" w:rsidRPr="00000000">
        <w:rPr>
          <w:rtl w:val="0"/>
        </w:rPr>
        <w:t xml:space="preserve">Data Visualization: Resistance/Support levels</w:t>
      </w:r>
    </w:p>
    <w:p w:rsidR="00000000" w:rsidDel="00000000" w:rsidP="00000000" w:rsidRDefault="00000000" w:rsidRPr="00000000" w14:paraId="00000002">
      <w:pPr>
        <w:pStyle w:val="Heading4"/>
        <w:rPr>
          <w:b w:val="1"/>
        </w:rPr>
      </w:pPr>
      <w:bookmarkStart w:colFirst="0" w:colLast="0" w:name="_jv7a4uxlhcdq" w:id="1"/>
      <w:bookmarkEnd w:id="1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visualizations are simplifications of complex relationships that enable the user</w:t>
      </w:r>
      <w:r w:rsidDel="00000000" w:rsidR="00000000" w:rsidRPr="00000000">
        <w:rPr>
          <w:rtl w:val="0"/>
        </w:rPr>
        <w:t xml:space="preserve"> to see and understand trends, outliers, and patterns in the data.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Financial and Crypto markets are complex. A common concept used for analyzing financial markets are resistance and support levels (you can read more about 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the chart below you have a static view on the price of BTC in USD over a 28d period and the </w:t>
      </w:r>
      <w:r w:rsidDel="00000000" w:rsidR="00000000" w:rsidRPr="00000000">
        <w:rPr>
          <w:b w:val="1"/>
          <w:rtl w:val="0"/>
        </w:rPr>
        <w:t xml:space="preserve">sumtotal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tl w:val="0"/>
        </w:rPr>
        <w:t xml:space="preserve">on-chain transfer volumes compared to off-chain transaction volumes</w:t>
      </w:r>
      <w:r w:rsidDel="00000000" w:rsidR="00000000" w:rsidRPr="00000000">
        <w:rPr>
          <w:rtl w:val="0"/>
        </w:rPr>
        <w:t xml:space="preserve"> on exchanges during the same time period.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Are the larger bars in proximity to local extrema of the price series as the theory would suggest? </w:t>
      </w:r>
      <w:r w:rsidDel="00000000" w:rsidR="00000000" w:rsidRPr="00000000">
        <w:rPr>
          <w:rtl w:val="0"/>
        </w:rPr>
        <w:t xml:space="preserve">(this is a rhetorical question, but worthwhile to check when plotting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693569" cy="3795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569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>
          <w:b w:val="1"/>
        </w:rPr>
      </w:pPr>
      <w:bookmarkStart w:colFirst="0" w:colLast="0" w:name="_japft1jy73f3" w:id="2"/>
      <w:bookmarkEnd w:id="2"/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are providing .csv files for the task, descriptions below. The solution provided will solely be used to assess your analytical and visualization skills and your solution will be part of a follow-up interview.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ask you to…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 visualization that allows a user to explore potential support and resistance levels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dynamic: display relevant information on hovering and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interactive: have at least 1 control element like a radio-button, drop-down, time-slider, button, etc. that changes the context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your thought process, analysis and data manipulation that led to the solution (e.g. .ipynb)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short a</w:t>
      </w:r>
      <w:r w:rsidDel="00000000" w:rsidR="00000000" w:rsidRPr="00000000">
        <w:rPr>
          <w:rtl w:val="0"/>
        </w:rPr>
        <w:t xml:space="preserve">nswers to the following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From a user’s point of view, what interesting relationship could you find in the data?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How would you guide a user to interesting bits of information?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What question or task would you have addressed next if you had more time?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>
          <w:b w:val="1"/>
        </w:rPr>
      </w:pPr>
      <w:bookmarkStart w:colFirst="0" w:colLast="0" w:name="_j7nqxoj381du" w:id="3"/>
      <w:bookmarkEnd w:id="3"/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following data files are provided (covering 8 October - 19 November 2021)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on_chain_ETH_BTC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.csv</w:t>
      </w:r>
      <w:r w:rsidDel="00000000" w:rsidR="00000000" w:rsidRPr="00000000">
        <w:rPr>
          <w:rFonts w:ascii="Courier New" w:cs="Courier New" w:eastAsia="Courier New" w:hAnsi="Courier New"/>
          <w:vertAlign w:val="superscript"/>
        </w:rPr>
        <w:footnoteReference w:customMarkFollows="0" w:id="2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ts,                 # date</w:t>
      </w:r>
    </w:p>
    <w:p w:rsidR="00000000" w:rsidDel="00000000" w:rsidP="00000000" w:rsidRDefault="00000000" w:rsidRPr="00000000" w14:paraId="0000001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metric,             # direction, to or from exchange</w:t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sset,              # BTC or ETH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currency,           # quote currency: USD</w:t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              # transfer value in USD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buy_sell_volume_BTC.csv, buy_sell_volume_ETH.csv</w:t>
      </w:r>
      <w:r w:rsidDel="00000000" w:rsidR="00000000" w:rsidRPr="00000000">
        <w:rPr>
          <w:rFonts w:ascii="Courier New" w:cs="Courier New" w:eastAsia="Courier New" w:hAnsi="Courier New"/>
          <w:vertAlign w:val="superscript"/>
        </w:rPr>
        <w:footnoteReference w:customMarkFollows="0" w:id="3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time_executed,  # date</w:t>
      </w:r>
    </w:p>
    <w:p w:rsidR="00000000" w:rsidDel="00000000" w:rsidP="00000000" w:rsidRDefault="00000000" w:rsidRPr="00000000" w14:paraId="0000002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volume_buy,     # buy volume filled, denominated in #BTC or #ETH)</w:t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volume_sell,    # sell volume filled, in #BTC or #ETH)</w:t>
      </w:r>
    </w:p>
    <w:p w:rsidR="00000000" w:rsidDel="00000000" w:rsidP="00000000" w:rsidRDefault="00000000" w:rsidRPr="00000000" w14:paraId="0000002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trades_buy,     # number of trades, buy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trades_sell     # number of trades, sell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price_BTC.csv, price_ETH.csv: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time_open,          # date</w:t>
      </w:r>
    </w:p>
    <w:p w:rsidR="00000000" w:rsidDel="00000000" w:rsidP="00000000" w:rsidRDefault="00000000" w:rsidRPr="00000000" w14:paraId="0000002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               # closing price, end of day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orderbook.csv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only available for BTC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 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date,               # daily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price,              # order price levels per day</w:t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quantity            # size of orderbook within price bracket</w:t>
      </w:r>
    </w:p>
    <w:p w:rsidR="00000000" w:rsidDel="00000000" w:rsidP="00000000" w:rsidRDefault="00000000" w:rsidRPr="00000000" w14:paraId="00000031">
      <w:pPr>
        <w:pStyle w:val="Heading4"/>
        <w:spacing w:after="240" w:before="240" w:lineRule="auto"/>
        <w:rPr>
          <w:b w:val="1"/>
        </w:rPr>
      </w:pPr>
      <w:bookmarkStart w:colFirst="0" w:colLast="0" w:name="_s8zwxppp7f0i" w:id="4"/>
      <w:bookmarkEnd w:id="4"/>
      <w:r w:rsidDel="00000000" w:rsidR="00000000" w:rsidRPr="00000000">
        <w:rPr>
          <w:b w:val="1"/>
          <w:rtl w:val="0"/>
        </w:rPr>
        <w:t xml:space="preserve">What we are looking for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Clean, executable code, documenting the thought process and analysis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interactive visualization (share a link to a hosted solution, a locally working version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answers to the questions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3"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_buy and _sell mean execution of limit orders from the point of view of the market maker. The total volume transacted in the time frame is the sumtotal of those 2 values. In periods of sharp price movements there will be an imbalance, but typically the volumes are close for hourly aggregates </w:t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volumes from this source are denominated in BTC and ETH (convert to USD!)</w:t>
      </w:r>
    </w:p>
  </w:footnote>
  <w:footnote w:id="2"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See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https://docs.glassnode.com/api/transactions#transfers_volume_to_exchanges_sum</w:t>
        </w:r>
      </w:hyperlink>
      <w:r w:rsidDel="00000000" w:rsidR="00000000" w:rsidRPr="00000000">
        <w:rPr>
          <w:sz w:val="20"/>
          <w:szCs w:val="20"/>
          <w:rtl w:val="0"/>
        </w:rPr>
        <w:t xml:space="preserve"> and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https://docs.glassnode.com/api/transactions#transfers_volume_from_exchanges_sum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0"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On-chain vs. off-chain would be analogous to a physical goods’ market (like </w:t>
      </w:r>
      <w:r w:rsidDel="00000000" w:rsidR="00000000" w:rsidRPr="00000000">
        <w:rPr>
          <w:sz w:val="20"/>
          <w:szCs w:val="20"/>
          <w:rtl w:val="0"/>
        </w:rPr>
        <w:t xml:space="preserve">gold). The bars on the left represent the amount of gold trucks moving BETWEEN different market places, while the right bars represent how much gold is exchanged WITHIN a marketplace. The</w:t>
      </w:r>
      <w:r w:rsidDel="00000000" w:rsidR="00000000" w:rsidRPr="00000000">
        <w:rPr>
          <w:rtl w:val="0"/>
        </w:rPr>
        <w:t xml:space="preserve"> left </w:t>
      </w:r>
      <w:r w:rsidDel="00000000" w:rsidR="00000000" w:rsidRPr="00000000">
        <w:rPr>
          <w:rtl w:val="0"/>
        </w:rPr>
        <w:t xml:space="preserve">pyramid, shows transfers to [=green] and from [=red] exchanges compared to off-chain transaction volumes</w:t>
      </w:r>
      <w:r w:rsidDel="00000000" w:rsidR="00000000" w:rsidRPr="00000000">
        <w:rPr>
          <w:rtl w:val="0"/>
        </w:rPr>
        <w:t xml:space="preserve"> on exchanges during the same time period: trade execution at buy limit=green, trade execution at sell limit=red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Note: don’t get hung up on the plot provided, there might be better ways of comparing on- and off-chain movements in relation to price.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investopedia.com/trading/support-and-resistance-basics/" TargetMode="External"/><Relationship Id="rId8" Type="http://schemas.openxmlformats.org/officeDocument/2006/relationships/image" Target="media/image1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lassnode.com/api/transactions#transfers_volume_to_exchanges_sum" TargetMode="External"/><Relationship Id="rId2" Type="http://schemas.openxmlformats.org/officeDocument/2006/relationships/hyperlink" Target="https://docs.glassnode.com/api/transactions#transfers_volume_from_exchanges_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