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A7738"/>
          <w:sz w:val="36"/>
        </w:rPr>
        <w:t>✥  MAHBER  ✥</w:t>
      </w:r>
    </w:p>
    <w:p>
      <w:pPr>
        <w:pStyle w:val="Title"/>
        <w:jc w:val="center"/>
      </w:pPr>
      <w:r>
        <w:t>Master Product Blueprint</w:t>
      </w:r>
    </w:p>
    <w:p>
      <w:pPr>
        <w:jc w:val="center"/>
      </w:pPr>
      <w:r>
        <w:rPr>
          <w:i/>
          <w:color w:val="6E2630"/>
          <w:sz w:val="26"/>
        </w:rPr>
        <w:t>Private Ethiopian Orthodox Christian Mahber platform</w:t>
      </w:r>
    </w:p>
    <w:p>
      <w:pPr>
        <w:jc w:val="center"/>
      </w:pPr>
      <w:r>
        <w:t>Product architecture • UX specification • permissions • implementation plan</w:t>
      </w:r>
    </w:p>
    <w:p/>
    <w:tbl>
      <w:tblPr>
        <w:tblStyle w:val="LightShading-Accent1"/>
        <w:tblW w:type="auto" w:w="0"/>
        <w:tblLook w:firstColumn="1" w:firstRow="1" w:lastColumn="0" w:lastRow="0" w:noHBand="0" w:noVBand="1" w:val="04A0"/>
      </w:tblPr>
      <w:tblGrid>
        <w:gridCol w:w="3360"/>
        <w:gridCol w:w="3360"/>
        <w:gridCol w:w="3360"/>
      </w:tblGrid>
      <w:tr>
        <w:tc>
          <w:tcPr>
            <w:tcW w:type="dxa" w:w="3360"/>
            <w:vAlign w:val="center"/>
            <w:shd w:fill="6E2630"/>
          </w:tcPr>
          <w:p>
            <w:r/>
            <w:r>
              <w:rPr>
                <w:b/>
                <w:color w:val="FFFFFF"/>
                <w:sz w:val="17"/>
              </w:rPr>
              <w:t>Document status</w:t>
            </w:r>
          </w:p>
        </w:tc>
        <w:tc>
          <w:tcPr>
            <w:tcW w:type="dxa" w:w="3360"/>
            <w:vAlign w:val="center"/>
            <w:shd w:fill="6E2630"/>
          </w:tcPr>
          <w:p>
            <w:r/>
            <w:r>
              <w:rPr>
                <w:b/>
                <w:color w:val="FFFFFF"/>
                <w:sz w:val="17"/>
              </w:rPr>
              <w:t>Product scope</w:t>
            </w:r>
          </w:p>
        </w:tc>
        <w:tc>
          <w:tcPr>
            <w:tcW w:type="dxa" w:w="3360"/>
            <w:vAlign w:val="center"/>
            <w:shd w:fill="6E2630"/>
          </w:tcPr>
          <w:p>
            <w:r/>
            <w:r>
              <w:rPr>
                <w:b/>
                <w:color w:val="FFFFFF"/>
                <w:sz w:val="17"/>
              </w:rPr>
              <w:t>Platforms</w:t>
            </w:r>
          </w:p>
        </w:tc>
      </w:tr>
      <w:tr>
        <w:tc>
          <w:tcPr>
            <w:tcW w:type="dxa" w:w="3360"/>
            <w:vAlign w:val="center"/>
          </w:tcPr>
          <w:p>
            <w:r/>
            <w:r>
              <w:rPr>
                <w:b w:val="0"/>
                <w:sz w:val="17"/>
              </w:rPr>
              <w:t>Working implementation blueprint; visual mockups are references, not final production specs.</w:t>
            </w:r>
          </w:p>
        </w:tc>
        <w:tc>
          <w:tcPr>
            <w:tcW w:type="dxa" w:w="3360"/>
            <w:vAlign w:val="center"/>
          </w:tcPr>
          <w:p>
            <w:r/>
            <w:r>
              <w:rPr>
                <w:b w:val="0"/>
                <w:sz w:val="17"/>
              </w:rPr>
              <w:t>One private Mahber, approximately 11 members.</w:t>
            </w:r>
          </w:p>
        </w:tc>
        <w:tc>
          <w:tcPr>
            <w:tcW w:type="dxa" w:w="3360"/>
            <w:vAlign w:val="center"/>
          </w:tcPr>
          <w:p>
            <w:r/>
            <w:r>
              <w:rPr>
                <w:b w:val="0"/>
                <w:sz w:val="17"/>
              </w:rPr>
              <w:t>Android-first responsive web app; iPhone, tablet, desktop support.</w:t>
            </w:r>
          </w:p>
        </w:tc>
      </w:tr>
    </w:tbl>
    <w:p/>
    <w:p>
      <w:pPr>
        <w:pStyle w:val="Heading1"/>
      </w:pPr>
      <w:r>
        <w:t>1. Product vision</w:t>
      </w:r>
    </w:p>
    <w:p>
      <w:r>
        <w:t>MAHBER is a private digital home for one Ethiopian Orthodox Christian Mahber. It combines spiritual life and fellowship with practical organization: gatherings, attendance, hosting rotation, contributions, penalties, shared funds, member records, announcements, and Mezmur. It is not a public social network and does not support multiple organizations.</w:t>
      </w:r>
    </w:p>
    <w:p>
      <w:pPr>
        <w:pStyle w:val="Heading2"/>
      </w:pPr>
      <w:r>
        <w:t>Product principles</w:t>
      </w:r>
    </w:p>
    <w:p>
      <w:pPr>
        <w:pStyle w:val="ListBullet"/>
      </w:pPr>
      <w:r>
        <w:t>Spiritual, warm, respectful, and practical—not a generic startup dashboard.</w:t>
      </w:r>
    </w:p>
    <w:p>
      <w:pPr>
        <w:pStyle w:val="ListBullet"/>
      </w:pPr>
      <w:r>
        <w:t>One source of truth for dates, attendance, hosting assignments, and financial records.</w:t>
      </w:r>
    </w:p>
    <w:p>
      <w:pPr>
        <w:pStyle w:val="ListBullet"/>
      </w:pPr>
      <w:r>
        <w:t>Members see their own private records; group-wide information is shown only when intended to be shared.</w:t>
      </w:r>
    </w:p>
    <w:p>
      <w:pPr>
        <w:pStyle w:val="ListBullet"/>
      </w:pPr>
      <w:r>
        <w:t>Permission checks happen on the server/backend, not only by hiding UI controls.</w:t>
      </w:r>
    </w:p>
    <w:p>
      <w:pPr>
        <w:pStyle w:val="ListBullet"/>
      </w:pPr>
      <w:r>
        <w:t>Corrections preserve history; important actions are attributable and auditable.</w:t>
      </w:r>
    </w:p>
    <w:p>
      <w:pPr>
        <w:pStyle w:val="ListBullet"/>
      </w:pPr>
      <w:r>
        <w:t>Design mobile-first, with accessible touch targets, readable text, and graceful loading/error states.</w:t>
      </w:r>
    </w:p>
    <w:p>
      <w:pPr>
        <w:pStyle w:val="Heading1"/>
      </w:pPr>
      <w:r>
        <w:t>2. Visual design system</w:t>
      </w:r>
    </w:p>
    <w:tbl>
      <w:tblPr>
        <w:tblStyle w:val="LightShading-Accent1"/>
        <w:tblW w:type="auto" w:w="0"/>
        <w:tblLook w:firstColumn="1" w:firstRow="1" w:lastColumn="0" w:lastRow="0" w:noHBand="0" w:noVBand="1" w:val="04A0"/>
      </w:tblPr>
      <w:tblGrid>
        <w:gridCol w:w="3360"/>
        <w:gridCol w:w="3360"/>
        <w:gridCol w:w="3360"/>
      </w:tblGrid>
      <w:tr>
        <w:tc>
          <w:tcPr>
            <w:tcW w:type="dxa" w:w="3360"/>
            <w:vAlign w:val="center"/>
            <w:shd w:fill="6E2630"/>
          </w:tcPr>
          <w:p>
            <w:r/>
            <w:r>
              <w:rPr>
                <w:b/>
                <w:color w:val="FFFFFF"/>
                <w:sz w:val="17"/>
              </w:rPr>
              <w:t>Token</w:t>
            </w:r>
          </w:p>
        </w:tc>
        <w:tc>
          <w:tcPr>
            <w:tcW w:type="dxa" w:w="3360"/>
            <w:vAlign w:val="center"/>
            <w:shd w:fill="6E2630"/>
          </w:tcPr>
          <w:p>
            <w:r/>
            <w:r>
              <w:rPr>
                <w:b/>
                <w:color w:val="FFFFFF"/>
                <w:sz w:val="17"/>
              </w:rPr>
              <w:t>Direction</w:t>
            </w:r>
          </w:p>
        </w:tc>
        <w:tc>
          <w:tcPr>
            <w:tcW w:type="dxa" w:w="3360"/>
            <w:vAlign w:val="center"/>
            <w:shd w:fill="6E2630"/>
          </w:tcPr>
          <w:p>
            <w:r/>
            <w:r>
              <w:rPr>
                <w:b/>
                <w:color w:val="FFFFFF"/>
                <w:sz w:val="17"/>
              </w:rPr>
              <w:t>Usage</w:t>
            </w:r>
          </w:p>
        </w:tc>
      </w:tr>
      <w:tr>
        <w:tc>
          <w:tcPr>
            <w:tcW w:type="dxa" w:w="3360"/>
            <w:vAlign w:val="center"/>
          </w:tcPr>
          <w:p>
            <w:r/>
            <w:r>
              <w:rPr>
                <w:b w:val="0"/>
                <w:sz w:val="17"/>
              </w:rPr>
              <w:t>Primary background</w:t>
            </w:r>
          </w:p>
        </w:tc>
        <w:tc>
          <w:tcPr>
            <w:tcW w:type="dxa" w:w="3360"/>
            <w:vAlign w:val="center"/>
          </w:tcPr>
          <w:p>
            <w:r/>
            <w:r>
              <w:rPr>
                <w:b w:val="0"/>
                <w:sz w:val="17"/>
              </w:rPr>
              <w:t>Charcoal / near-black green</w:t>
            </w:r>
          </w:p>
        </w:tc>
        <w:tc>
          <w:tcPr>
            <w:tcW w:type="dxa" w:w="3360"/>
            <w:vAlign w:val="center"/>
          </w:tcPr>
          <w:p>
            <w:r/>
            <w:r>
              <w:rPr>
                <w:b w:val="0"/>
                <w:sz w:val="17"/>
              </w:rPr>
              <w:t>Main dark theme surfaces</w:t>
            </w:r>
          </w:p>
        </w:tc>
      </w:tr>
      <w:tr>
        <w:tc>
          <w:tcPr>
            <w:tcW w:type="dxa" w:w="3360"/>
            <w:vAlign w:val="center"/>
            <w:shd w:fill="F7F1E7"/>
          </w:tcPr>
          <w:p>
            <w:r/>
            <w:r>
              <w:rPr>
                <w:b w:val="0"/>
                <w:sz w:val="17"/>
              </w:rPr>
              <w:t>Primary accent</w:t>
            </w:r>
          </w:p>
        </w:tc>
        <w:tc>
          <w:tcPr>
            <w:tcW w:type="dxa" w:w="3360"/>
            <w:vAlign w:val="center"/>
            <w:shd w:fill="F7F1E7"/>
          </w:tcPr>
          <w:p>
            <w:r/>
            <w:r>
              <w:rPr>
                <w:b w:val="0"/>
                <w:sz w:val="17"/>
              </w:rPr>
              <w:t>Antique gold</w:t>
            </w:r>
          </w:p>
        </w:tc>
        <w:tc>
          <w:tcPr>
            <w:tcW w:type="dxa" w:w="3360"/>
            <w:vAlign w:val="center"/>
            <w:shd w:fill="F7F1E7"/>
          </w:tcPr>
          <w:p>
            <w:r/>
            <w:r>
              <w:rPr>
                <w:b w:val="0"/>
                <w:sz w:val="17"/>
              </w:rPr>
              <w:t>Primary actions, active states, key icons</w:t>
            </w:r>
          </w:p>
        </w:tc>
      </w:tr>
      <w:tr>
        <w:tc>
          <w:tcPr>
            <w:tcW w:type="dxa" w:w="3360"/>
            <w:vAlign w:val="center"/>
          </w:tcPr>
          <w:p>
            <w:r/>
            <w:r>
              <w:rPr>
                <w:b w:val="0"/>
                <w:sz w:val="17"/>
              </w:rPr>
              <w:t>Secondary accent</w:t>
            </w:r>
          </w:p>
        </w:tc>
        <w:tc>
          <w:tcPr>
            <w:tcW w:type="dxa" w:w="3360"/>
            <w:vAlign w:val="center"/>
          </w:tcPr>
          <w:p>
            <w:r/>
            <w:r>
              <w:rPr>
                <w:b w:val="0"/>
                <w:sz w:val="17"/>
              </w:rPr>
              <w:t>Deep burgundy</w:t>
            </w:r>
          </w:p>
        </w:tc>
        <w:tc>
          <w:tcPr>
            <w:tcW w:type="dxa" w:w="3360"/>
            <w:vAlign w:val="center"/>
          </w:tcPr>
          <w:p>
            <w:r/>
            <w:r>
              <w:rPr>
                <w:b w:val="0"/>
                <w:sz w:val="17"/>
              </w:rPr>
              <w:t>Important emphasis, selected spiritual details</w:t>
            </w:r>
          </w:p>
        </w:tc>
      </w:tr>
      <w:tr>
        <w:tc>
          <w:tcPr>
            <w:tcW w:type="dxa" w:w="3360"/>
            <w:vAlign w:val="center"/>
            <w:shd w:fill="F7F1E7"/>
          </w:tcPr>
          <w:p>
            <w:r/>
            <w:r>
              <w:rPr>
                <w:b w:val="0"/>
                <w:sz w:val="17"/>
              </w:rPr>
              <w:t>Light theme</w:t>
            </w:r>
          </w:p>
        </w:tc>
        <w:tc>
          <w:tcPr>
            <w:tcW w:type="dxa" w:w="3360"/>
            <w:vAlign w:val="center"/>
            <w:shd w:fill="F7F1E7"/>
          </w:tcPr>
          <w:p>
            <w:r/>
            <w:r>
              <w:rPr>
                <w:b w:val="0"/>
                <w:sz w:val="17"/>
              </w:rPr>
              <w:t>Warm parchment / ivory</w:t>
            </w:r>
          </w:p>
        </w:tc>
        <w:tc>
          <w:tcPr>
            <w:tcW w:type="dxa" w:w="3360"/>
            <w:vAlign w:val="center"/>
            <w:shd w:fill="F7F1E7"/>
          </w:tcPr>
          <w:p>
            <w:r/>
            <w:r>
              <w:rPr>
                <w:b w:val="0"/>
                <w:sz w:val="17"/>
              </w:rPr>
              <w:t>Alternative theme, cards, reading surfaces</w:t>
            </w:r>
          </w:p>
        </w:tc>
      </w:tr>
      <w:tr>
        <w:tc>
          <w:tcPr>
            <w:tcW w:type="dxa" w:w="3360"/>
            <w:vAlign w:val="center"/>
          </w:tcPr>
          <w:p>
            <w:r/>
            <w:r>
              <w:rPr>
                <w:b w:val="0"/>
                <w:sz w:val="17"/>
              </w:rPr>
              <w:t>Typography</w:t>
            </w:r>
          </w:p>
        </w:tc>
        <w:tc>
          <w:tcPr>
            <w:tcW w:type="dxa" w:w="3360"/>
            <w:vAlign w:val="center"/>
          </w:tcPr>
          <w:p>
            <w:r/>
            <w:r>
              <w:rPr>
                <w:b w:val="0"/>
                <w:sz w:val="17"/>
              </w:rPr>
              <w:t>Elegant serif for display + highly readable sans-serif for UI</w:t>
            </w:r>
          </w:p>
        </w:tc>
        <w:tc>
          <w:tcPr>
            <w:tcW w:type="dxa" w:w="3360"/>
            <w:vAlign w:val="center"/>
          </w:tcPr>
          <w:p>
            <w:r/>
            <w:r>
              <w:rPr>
                <w:b w:val="0"/>
                <w:sz w:val="17"/>
              </w:rPr>
              <w:t>Headlines and devotional titles vs forms, labels, data</w:t>
            </w:r>
          </w:p>
        </w:tc>
      </w:tr>
      <w:tr>
        <w:tc>
          <w:tcPr>
            <w:tcW w:type="dxa" w:w="3360"/>
            <w:vAlign w:val="center"/>
            <w:shd w:fill="F7F1E7"/>
          </w:tcPr>
          <w:p>
            <w:r/>
            <w:r>
              <w:rPr>
                <w:b w:val="0"/>
                <w:sz w:val="17"/>
              </w:rPr>
              <w:t>Motifs</w:t>
            </w:r>
          </w:p>
        </w:tc>
        <w:tc>
          <w:tcPr>
            <w:tcW w:type="dxa" w:w="3360"/>
            <w:vAlign w:val="center"/>
            <w:shd w:fill="F7F1E7"/>
          </w:tcPr>
          <w:p>
            <w:r/>
            <w:r>
              <w:rPr>
                <w:b w:val="0"/>
                <w:sz w:val="17"/>
              </w:rPr>
              <w:t>Tasteful Ethiopian Orthodox cross and restrained ornamental detail</w:t>
            </w:r>
          </w:p>
        </w:tc>
        <w:tc>
          <w:tcPr>
            <w:tcW w:type="dxa" w:w="3360"/>
            <w:vAlign w:val="center"/>
            <w:shd w:fill="F7F1E7"/>
          </w:tcPr>
          <w:p>
            <w:r/>
            <w:r>
              <w:rPr>
                <w:b w:val="0"/>
                <w:sz w:val="17"/>
              </w:rPr>
              <w:t>Branding and select empty/hero states only</w:t>
            </w:r>
          </w:p>
        </w:tc>
      </w:tr>
    </w:tbl>
    <w:p/>
    <w:p>
      <w:pPr>
        <w:pStyle w:val="ListBullet"/>
      </w:pPr>
      <w:r>
        <w:t>Avoid neon, excessive ornament, cramped layouts, and ornamental fonts for small labels.</w:t>
      </w:r>
    </w:p>
    <w:p>
      <w:pPr>
        <w:pStyle w:val="ListBullet"/>
      </w:pPr>
      <w:r>
        <w:t>Use the same spacing, card radius, buttons, form fields, icon family, status chips, and navigation across all sections.</w:t>
      </w:r>
    </w:p>
    <w:p>
      <w:pPr>
        <w:pStyle w:val="ListBullet"/>
      </w:pPr>
      <w:r>
        <w:t>Provide strong contrast in both themes and do not rely on color alone to communicate status.</w:t>
      </w:r>
    </w:p>
    <w:p>
      <w:pPr>
        <w:pStyle w:val="ListBullet"/>
      </w:pPr>
      <w:r>
        <w:t>Use Amharic-compatible fonts and test Ge’ez shaping and line wrapping on Android.</w:t>
      </w:r>
    </w:p>
    <w:p>
      <w:pPr>
        <w:pStyle w:val="Heading1"/>
      </w:pPr>
      <w:r>
        <w:t>3. Navigation and screen inventory</w:t>
      </w:r>
    </w:p>
    <w:p>
      <w:r>
        <w:t>Shared authentication is used by every account. After successful authentication, the app resolves the assigned role and permissions and routes the user to the correct home. Do not provide separate public admin/member login pages.</w:t>
      </w:r>
    </w:p>
    <w:tbl>
      <w:tblPr>
        <w:tblStyle w:val="LightShading-Accent1"/>
        <w:tblW w:type="auto" w:w="0"/>
        <w:tblLook w:firstColumn="1" w:firstRow="1" w:lastColumn="0" w:lastRow="0" w:noHBand="0" w:noVBand="1" w:val="04A0"/>
      </w:tblPr>
      <w:tblGrid>
        <w:gridCol w:w="3360"/>
        <w:gridCol w:w="3360"/>
        <w:gridCol w:w="3360"/>
      </w:tblGrid>
      <w:tr>
        <w:tc>
          <w:tcPr>
            <w:tcW w:type="dxa" w:w="3360"/>
            <w:vAlign w:val="center"/>
            <w:shd w:fill="6E2630"/>
          </w:tcPr>
          <w:p>
            <w:r/>
            <w:r>
              <w:rPr>
                <w:b/>
                <w:color w:val="FFFFFF"/>
                <w:sz w:val="17"/>
              </w:rPr>
              <w:t>Area</w:t>
            </w:r>
          </w:p>
        </w:tc>
        <w:tc>
          <w:tcPr>
            <w:tcW w:type="dxa" w:w="3360"/>
            <w:vAlign w:val="center"/>
            <w:shd w:fill="6E2630"/>
          </w:tcPr>
          <w:p>
            <w:r/>
            <w:r>
              <w:rPr>
                <w:b/>
                <w:color w:val="FFFFFF"/>
                <w:sz w:val="17"/>
              </w:rPr>
              <w:t>Core screens</w:t>
            </w:r>
          </w:p>
        </w:tc>
        <w:tc>
          <w:tcPr>
            <w:tcW w:type="dxa" w:w="3360"/>
            <w:vAlign w:val="center"/>
            <w:shd w:fill="6E2630"/>
          </w:tcPr>
          <w:p>
            <w:r/>
            <w:r>
              <w:rPr>
                <w:b/>
                <w:color w:val="FFFFFF"/>
                <w:sz w:val="17"/>
              </w:rPr>
              <w:t>Access summary</w:t>
            </w:r>
          </w:p>
        </w:tc>
      </w:tr>
      <w:tr>
        <w:tc>
          <w:tcPr>
            <w:tcW w:type="dxa" w:w="3360"/>
            <w:vAlign w:val="center"/>
          </w:tcPr>
          <w:p>
            <w:r/>
            <w:r>
              <w:rPr>
                <w:b w:val="0"/>
                <w:sz w:val="17"/>
              </w:rPr>
              <w:t>Authentication</w:t>
            </w:r>
          </w:p>
        </w:tc>
        <w:tc>
          <w:tcPr>
            <w:tcW w:type="dxa" w:w="3360"/>
            <w:vAlign w:val="center"/>
          </w:tcPr>
          <w:p>
            <w:r/>
            <w:r>
              <w:rPr>
                <w:b w:val="0"/>
                <w:sz w:val="17"/>
              </w:rPr>
              <w:t>Welcome; shared login; activate invitation; set password; recovery/reset; session/security states</w:t>
            </w:r>
          </w:p>
        </w:tc>
        <w:tc>
          <w:tcPr>
            <w:tcW w:type="dxa" w:w="3360"/>
            <w:vAlign w:val="center"/>
          </w:tcPr>
          <w:p>
            <w:r/>
            <w:r>
              <w:rPr>
                <w:b w:val="0"/>
                <w:sz w:val="17"/>
              </w:rPr>
              <w:t>All invited users; no public sign-up</w:t>
            </w:r>
          </w:p>
        </w:tc>
      </w:tr>
      <w:tr>
        <w:tc>
          <w:tcPr>
            <w:tcW w:type="dxa" w:w="3360"/>
            <w:vAlign w:val="center"/>
            <w:shd w:fill="F7F1E7"/>
          </w:tcPr>
          <w:p>
            <w:r/>
            <w:r>
              <w:rPr>
                <w:b w:val="0"/>
                <w:sz w:val="17"/>
              </w:rPr>
              <w:t>Home</w:t>
            </w:r>
          </w:p>
        </w:tc>
        <w:tc>
          <w:tcPr>
            <w:tcW w:type="dxa" w:w="3360"/>
            <w:vAlign w:val="center"/>
            <w:shd w:fill="F7F1E7"/>
          </w:tcPr>
          <w:p>
            <w:r/>
            <w:r>
              <w:rPr>
                <w:b w:val="0"/>
                <w:sz w:val="17"/>
              </w:rPr>
              <w:t>Admin overview; member home</w:t>
            </w:r>
          </w:p>
        </w:tc>
        <w:tc>
          <w:tcPr>
            <w:tcW w:type="dxa" w:w="3360"/>
            <w:vAlign w:val="center"/>
            <w:shd w:fill="F7F1E7"/>
          </w:tcPr>
          <w:p>
            <w:r/>
            <w:r>
              <w:rPr>
                <w:b w:val="0"/>
                <w:sz w:val="17"/>
              </w:rPr>
              <w:t>Different widgets based on permissions and member context</w:t>
            </w:r>
          </w:p>
        </w:tc>
      </w:tr>
      <w:tr>
        <w:tc>
          <w:tcPr>
            <w:tcW w:type="dxa" w:w="3360"/>
            <w:vAlign w:val="center"/>
          </w:tcPr>
          <w:p>
            <w:r/>
            <w:r>
              <w:rPr>
                <w:b w:val="0"/>
                <w:sz w:val="17"/>
              </w:rPr>
              <w:t>Gatherings</w:t>
            </w:r>
          </w:p>
        </w:tc>
        <w:tc>
          <w:tcPr>
            <w:tcW w:type="dxa" w:w="3360"/>
            <w:vAlign w:val="center"/>
          </w:tcPr>
          <w:p>
            <w:r/>
            <w:r>
              <w:rPr>
                <w:b w:val="0"/>
                <w:sz w:val="17"/>
              </w:rPr>
              <w:t>List; details; create/edit; past records; calendar links</w:t>
            </w:r>
          </w:p>
        </w:tc>
        <w:tc>
          <w:tcPr>
            <w:tcW w:type="dxa" w:w="3360"/>
            <w:vAlign w:val="center"/>
          </w:tcPr>
          <w:p>
            <w:r/>
            <w:r>
              <w:rPr>
                <w:b w:val="0"/>
                <w:sz w:val="17"/>
              </w:rPr>
              <w:t>Members view; authorized roles manage</w:t>
            </w:r>
          </w:p>
        </w:tc>
      </w:tr>
      <w:tr>
        <w:tc>
          <w:tcPr>
            <w:tcW w:type="dxa" w:w="3360"/>
            <w:vAlign w:val="center"/>
            <w:shd w:fill="F7F1E7"/>
          </w:tcPr>
          <w:p>
            <w:r/>
            <w:r>
              <w:rPr>
                <w:b w:val="0"/>
                <w:sz w:val="17"/>
              </w:rPr>
              <w:t>Attendance</w:t>
            </w:r>
          </w:p>
        </w:tc>
        <w:tc>
          <w:tcPr>
            <w:tcW w:type="dxa" w:w="3360"/>
            <w:vAlign w:val="center"/>
            <w:shd w:fill="F7F1E7"/>
          </w:tcPr>
          <w:p>
            <w:r/>
            <w:r>
              <w:rPr>
                <w:b w:val="0"/>
                <w:sz w:val="17"/>
              </w:rPr>
              <w:t>Admin attendance list; status editing; correction flow; personal history</w:t>
            </w:r>
          </w:p>
        </w:tc>
        <w:tc>
          <w:tcPr>
            <w:tcW w:type="dxa" w:w="3360"/>
            <w:vAlign w:val="center"/>
            <w:shd w:fill="F7F1E7"/>
          </w:tcPr>
          <w:p>
            <w:r/>
            <w:r>
              <w:rPr>
                <w:b w:val="0"/>
                <w:sz w:val="17"/>
              </w:rPr>
              <w:t>Attendance permission for official records; members see own history</w:t>
            </w:r>
          </w:p>
        </w:tc>
      </w:tr>
      <w:tr>
        <w:tc>
          <w:tcPr>
            <w:tcW w:type="dxa" w:w="3360"/>
            <w:vAlign w:val="center"/>
          </w:tcPr>
          <w:p>
            <w:r/>
            <w:r>
              <w:rPr>
                <w:b w:val="0"/>
                <w:sz w:val="17"/>
              </w:rPr>
              <w:t>Hosting rotation</w:t>
            </w:r>
          </w:p>
        </w:tc>
        <w:tc>
          <w:tcPr>
            <w:tcW w:type="dxa" w:w="3360"/>
            <w:vAlign w:val="center"/>
          </w:tcPr>
          <w:p>
            <w:r/>
            <w:r>
              <w:rPr>
                <w:b w:val="0"/>
                <w:sz w:val="17"/>
              </w:rPr>
              <w:t>Rotation overview; full schedule; swap request; approval; history</w:t>
            </w:r>
          </w:p>
        </w:tc>
        <w:tc>
          <w:tcPr>
            <w:tcW w:type="dxa" w:w="3360"/>
            <w:vAlign w:val="center"/>
          </w:tcPr>
          <w:p>
            <w:r/>
            <w:r>
              <w:rPr>
                <w:b w:val="0"/>
                <w:sz w:val="17"/>
              </w:rPr>
              <w:t>Visible to members; changes restricted by permission</w:t>
            </w:r>
          </w:p>
        </w:tc>
      </w:tr>
      <w:tr>
        <w:tc>
          <w:tcPr>
            <w:tcW w:type="dxa" w:w="3360"/>
            <w:vAlign w:val="center"/>
            <w:shd w:fill="F7F1E7"/>
          </w:tcPr>
          <w:p>
            <w:r/>
            <w:r>
              <w:rPr>
                <w:b w:val="0"/>
                <w:sz w:val="17"/>
              </w:rPr>
              <w:t>Calendar &amp; reminders</w:t>
            </w:r>
          </w:p>
        </w:tc>
        <w:tc>
          <w:tcPr>
            <w:tcW w:type="dxa" w:w="3360"/>
            <w:vAlign w:val="center"/>
            <w:shd w:fill="F7F1E7"/>
          </w:tcPr>
          <w:p>
            <w:r/>
            <w:r>
              <w:rPr>
                <w:b w:val="0"/>
                <w:sz w:val="17"/>
              </w:rPr>
              <w:t>Ethiopian month view; agenda; notification preferences</w:t>
            </w:r>
          </w:p>
        </w:tc>
        <w:tc>
          <w:tcPr>
            <w:tcW w:type="dxa" w:w="3360"/>
            <w:vAlign w:val="center"/>
            <w:shd w:fill="F7F1E7"/>
          </w:tcPr>
          <w:p>
            <w:r/>
            <w:r>
              <w:rPr>
                <w:b w:val="0"/>
                <w:sz w:val="17"/>
              </w:rPr>
              <w:t>All members; correct calendar conversion required</w:t>
            </w:r>
          </w:p>
        </w:tc>
      </w:tr>
      <w:tr>
        <w:tc>
          <w:tcPr>
            <w:tcW w:type="dxa" w:w="3360"/>
            <w:vAlign w:val="center"/>
          </w:tcPr>
          <w:p>
            <w:r/>
            <w:r>
              <w:rPr>
                <w:b w:val="0"/>
                <w:sz w:val="17"/>
              </w:rPr>
              <w:t>Finance</w:t>
            </w:r>
          </w:p>
        </w:tc>
        <w:tc>
          <w:tcPr>
            <w:tcW w:type="dxa" w:w="3360"/>
            <w:vAlign w:val="center"/>
          </w:tcPr>
          <w:p>
            <w:r/>
            <w:r>
              <w:rPr>
                <w:b w:val="0"/>
                <w:sz w:val="17"/>
              </w:rPr>
              <w:t>Finance overview; monthly contributions; record payment; expenses; expense proposal/approval; shared ledger; member financial record; transaction detail</w:t>
            </w:r>
          </w:p>
        </w:tc>
        <w:tc>
          <w:tcPr>
            <w:tcW w:type="dxa" w:w="3360"/>
            <w:vAlign w:val="center"/>
          </w:tcPr>
          <w:p>
            <w:r/>
            <w:r>
              <w:rPr>
                <w:b w:val="0"/>
                <w:sz w:val="17"/>
              </w:rPr>
              <w:t>Finance permission for shared records; members see own records</w:t>
            </w:r>
          </w:p>
        </w:tc>
      </w:tr>
      <w:tr>
        <w:tc>
          <w:tcPr>
            <w:tcW w:type="dxa" w:w="3360"/>
            <w:vAlign w:val="center"/>
            <w:shd w:fill="F7F1E7"/>
          </w:tcPr>
          <w:p>
            <w:r/>
            <w:r>
              <w:rPr>
                <w:b w:val="0"/>
                <w:sz w:val="17"/>
              </w:rPr>
              <w:t>Members &amp; accounts</w:t>
            </w:r>
          </w:p>
        </w:tc>
        <w:tc>
          <w:tcPr>
            <w:tcW w:type="dxa" w:w="3360"/>
            <w:vAlign w:val="center"/>
            <w:shd w:fill="F7F1E7"/>
          </w:tcPr>
          <w:p>
            <w:r/>
            <w:r>
              <w:rPr>
                <w:b w:val="0"/>
                <w:sz w:val="17"/>
              </w:rPr>
              <w:t>Directory; profile; add member; invitation status; deactivate/reactivate; admin assignment</w:t>
            </w:r>
          </w:p>
        </w:tc>
        <w:tc>
          <w:tcPr>
            <w:tcW w:type="dxa" w:w="3360"/>
            <w:vAlign w:val="center"/>
            <w:shd w:fill="F7F1E7"/>
          </w:tcPr>
          <w:p>
            <w:r/>
            <w:r>
              <w:rPr>
                <w:b w:val="0"/>
                <w:sz w:val="17"/>
              </w:rPr>
              <w:t>Directory access as permitted; sensitive fields restricted</w:t>
            </w:r>
          </w:p>
        </w:tc>
      </w:tr>
      <w:tr>
        <w:tc>
          <w:tcPr>
            <w:tcW w:type="dxa" w:w="3360"/>
            <w:vAlign w:val="center"/>
          </w:tcPr>
          <w:p>
            <w:r/>
            <w:r>
              <w:rPr>
                <w:b w:val="0"/>
                <w:sz w:val="17"/>
              </w:rPr>
              <w:t>Mezmur</w:t>
            </w:r>
          </w:p>
        </w:tc>
        <w:tc>
          <w:tcPr>
            <w:tcW w:type="dxa" w:w="3360"/>
            <w:vAlign w:val="center"/>
          </w:tcPr>
          <w:p>
            <w:r/>
            <w:r>
              <w:rPr>
                <w:b w:val="0"/>
                <w:sz w:val="17"/>
              </w:rPr>
              <w:t>Library; search/filter; hymn detail; audio player; lyrics/translation; favorites; admin add/edit/upload; draft/publish; pending review if enabled</w:t>
            </w:r>
          </w:p>
        </w:tc>
        <w:tc>
          <w:tcPr>
            <w:tcW w:type="dxa" w:w="3360"/>
            <w:vAlign w:val="center"/>
          </w:tcPr>
          <w:p>
            <w:r/>
            <w:r>
              <w:rPr>
                <w:b w:val="0"/>
                <w:sz w:val="17"/>
              </w:rPr>
              <w:t>All members browse/listen/favorite; Mezmur permission manages shared content</w:t>
            </w:r>
          </w:p>
        </w:tc>
      </w:tr>
      <w:tr>
        <w:tc>
          <w:tcPr>
            <w:tcW w:type="dxa" w:w="3360"/>
            <w:vAlign w:val="center"/>
            <w:shd w:fill="F7F1E7"/>
          </w:tcPr>
          <w:p>
            <w:r/>
            <w:r>
              <w:rPr>
                <w:b w:val="0"/>
                <w:sz w:val="17"/>
              </w:rPr>
              <w:t>Announcements</w:t>
            </w:r>
          </w:p>
        </w:tc>
        <w:tc>
          <w:tcPr>
            <w:tcW w:type="dxa" w:w="3360"/>
            <w:vAlign w:val="center"/>
            <w:shd w:fill="F7F1E7"/>
          </w:tcPr>
          <w:p>
            <w:r/>
            <w:r>
              <w:rPr>
                <w:b w:val="0"/>
                <w:sz w:val="17"/>
              </w:rPr>
              <w:t>List; detail; create/edit/publish; notification center</w:t>
            </w:r>
          </w:p>
        </w:tc>
        <w:tc>
          <w:tcPr>
            <w:tcW w:type="dxa" w:w="3360"/>
            <w:vAlign w:val="center"/>
            <w:shd w:fill="F7F1E7"/>
          </w:tcPr>
          <w:p>
            <w:r/>
            <w:r>
              <w:rPr>
                <w:b w:val="0"/>
                <w:sz w:val="17"/>
              </w:rPr>
              <w:t>Authorized publishers; members read published content</w:t>
            </w:r>
          </w:p>
        </w:tc>
      </w:tr>
      <w:tr>
        <w:tc>
          <w:tcPr>
            <w:tcW w:type="dxa" w:w="3360"/>
            <w:vAlign w:val="center"/>
          </w:tcPr>
          <w:p>
            <w:r/>
            <w:r>
              <w:rPr>
                <w:b w:val="0"/>
                <w:sz w:val="17"/>
              </w:rPr>
              <w:t>Settings</w:t>
            </w:r>
          </w:p>
        </w:tc>
        <w:tc>
          <w:tcPr>
            <w:tcW w:type="dxa" w:w="3360"/>
            <w:vAlign w:val="center"/>
          </w:tcPr>
          <w:p>
            <w:r/>
            <w:r>
              <w:rPr>
                <w:b w:val="0"/>
                <w:sz w:val="17"/>
              </w:rPr>
              <w:t>Profile; language; theme; password/security; notification preferences</w:t>
            </w:r>
          </w:p>
        </w:tc>
        <w:tc>
          <w:tcPr>
            <w:tcW w:type="dxa" w:w="3360"/>
            <w:vAlign w:val="center"/>
          </w:tcPr>
          <w:p>
            <w:r/>
            <w:r>
              <w:rPr>
                <w:b w:val="0"/>
                <w:sz w:val="17"/>
              </w:rPr>
              <w:t>Users manage own permitted settings</w:t>
            </w:r>
          </w:p>
        </w:tc>
      </w:tr>
      <w:tr>
        <w:tc>
          <w:tcPr>
            <w:tcW w:type="dxa" w:w="3360"/>
            <w:vAlign w:val="center"/>
            <w:shd w:fill="F7F1E7"/>
          </w:tcPr>
          <w:p>
            <w:r/>
            <w:r>
              <w:rPr>
                <w:b w:val="0"/>
                <w:sz w:val="17"/>
              </w:rPr>
              <w:t>Super Admin</w:t>
            </w:r>
          </w:p>
        </w:tc>
        <w:tc>
          <w:tcPr>
            <w:tcW w:type="dxa" w:w="3360"/>
            <w:vAlign w:val="center"/>
            <w:shd w:fill="F7F1E7"/>
          </w:tcPr>
          <w:p>
            <w:r/>
            <w:r>
              <w:rPr>
                <w:b w:val="0"/>
                <w:sz w:val="17"/>
              </w:rPr>
              <w:t>Admin directory; role/permission management; invitation; admin activity log</w:t>
            </w:r>
          </w:p>
        </w:tc>
        <w:tc>
          <w:tcPr>
            <w:tcW w:type="dxa" w:w="3360"/>
            <w:vAlign w:val="center"/>
            <w:shd w:fill="F7F1E7"/>
          </w:tcPr>
          <w:p>
            <w:r/>
            <w:r>
              <w:rPr>
                <w:b w:val="0"/>
                <w:sz w:val="17"/>
              </w:rPr>
              <w:t>Only Super Admin appoints/removes admins</w:t>
            </w:r>
          </w:p>
        </w:tc>
      </w:tr>
    </w:tbl>
    <w:p/>
    <w:p>
      <w:r>
        <w:t>Bible reading and prayer-resource screens were deferred from the first release. They can be added later without blocking the core product.</w:t>
      </w:r>
    </w:p>
    <w:p>
      <w:pPr>
        <w:pStyle w:val="Heading1"/>
      </w:pPr>
      <w:r>
        <w:t>4. Roles and authorization</w:t>
      </w:r>
    </w:p>
    <w:tbl>
      <w:tblPr>
        <w:tblStyle w:val="LightShading-Accent1"/>
        <w:tblW w:type="auto" w:w="0"/>
        <w:tblLook w:firstColumn="1" w:firstRow="1" w:lastColumn="0" w:lastRow="0" w:noHBand="0" w:noVBand="1" w:val="04A0"/>
      </w:tblPr>
      <w:tblGrid>
        <w:gridCol w:w="3360"/>
        <w:gridCol w:w="3360"/>
        <w:gridCol w:w="3360"/>
      </w:tblGrid>
      <w:tr>
        <w:tc>
          <w:tcPr>
            <w:tcW w:type="dxa" w:w="3360"/>
            <w:vAlign w:val="center"/>
            <w:shd w:fill="6E2630"/>
          </w:tcPr>
          <w:p>
            <w:r/>
            <w:r>
              <w:rPr>
                <w:b/>
                <w:color w:val="FFFFFF"/>
                <w:sz w:val="17"/>
              </w:rPr>
              <w:t>Role / permission group</w:t>
            </w:r>
          </w:p>
        </w:tc>
        <w:tc>
          <w:tcPr>
            <w:tcW w:type="dxa" w:w="3360"/>
            <w:vAlign w:val="center"/>
            <w:shd w:fill="6E2630"/>
          </w:tcPr>
          <w:p>
            <w:r/>
            <w:r>
              <w:rPr>
                <w:b/>
                <w:color w:val="FFFFFF"/>
                <w:sz w:val="17"/>
              </w:rPr>
              <w:t>Allowed scope</w:t>
            </w:r>
          </w:p>
        </w:tc>
        <w:tc>
          <w:tcPr>
            <w:tcW w:type="dxa" w:w="3360"/>
            <w:vAlign w:val="center"/>
            <w:shd w:fill="6E2630"/>
          </w:tcPr>
          <w:p>
            <w:r/>
            <w:r>
              <w:rPr>
                <w:b/>
                <w:color w:val="FFFFFF"/>
                <w:sz w:val="17"/>
              </w:rPr>
              <w:t>Must not imply</w:t>
            </w:r>
          </w:p>
        </w:tc>
      </w:tr>
      <w:tr>
        <w:tc>
          <w:tcPr>
            <w:tcW w:type="dxa" w:w="3360"/>
            <w:vAlign w:val="center"/>
          </w:tcPr>
          <w:p>
            <w:r/>
            <w:r>
              <w:rPr>
                <w:b w:val="0"/>
                <w:sz w:val="17"/>
              </w:rPr>
              <w:t>Super Admin</w:t>
            </w:r>
          </w:p>
        </w:tc>
        <w:tc>
          <w:tcPr>
            <w:tcW w:type="dxa" w:w="3360"/>
            <w:vAlign w:val="center"/>
          </w:tcPr>
          <w:p>
            <w:r/>
            <w:r>
              <w:rPr>
                <w:b w:val="0"/>
                <w:sz w:val="17"/>
              </w:rPr>
              <w:t>Appoint/remove admins; manage admin roles; see governance/audit tools; other access only as explicitly granted by policy</w:t>
            </w:r>
          </w:p>
        </w:tc>
        <w:tc>
          <w:tcPr>
            <w:tcW w:type="dxa" w:w="3360"/>
            <w:vAlign w:val="center"/>
          </w:tcPr>
          <w:p>
            <w:r/>
            <w:r>
              <w:rPr>
                <w:b w:val="0"/>
                <w:sz w:val="17"/>
              </w:rPr>
              <w:t>Automatic unrestricted access to every private financial record unless assigned/defined</w:t>
            </w:r>
          </w:p>
        </w:tc>
      </w:tr>
      <w:tr>
        <w:tc>
          <w:tcPr>
            <w:tcW w:type="dxa" w:w="3360"/>
            <w:vAlign w:val="center"/>
            <w:shd w:fill="F7F1E7"/>
          </w:tcPr>
          <w:p>
            <w:r/>
            <w:r>
              <w:rPr>
                <w:b w:val="0"/>
                <w:sz w:val="17"/>
              </w:rPr>
              <w:t>Management / Gathering</w:t>
            </w:r>
          </w:p>
        </w:tc>
        <w:tc>
          <w:tcPr>
            <w:tcW w:type="dxa" w:w="3360"/>
            <w:vAlign w:val="center"/>
            <w:shd w:fill="F7F1E7"/>
          </w:tcPr>
          <w:p>
            <w:r/>
            <w:r>
              <w:rPr>
                <w:b w:val="0"/>
                <w:sz w:val="17"/>
              </w:rPr>
              <w:t>Manage gathering details and authorized operational settings</w:t>
            </w:r>
          </w:p>
        </w:tc>
        <w:tc>
          <w:tcPr>
            <w:tcW w:type="dxa" w:w="3360"/>
            <w:vAlign w:val="center"/>
            <w:shd w:fill="F7F1E7"/>
          </w:tcPr>
          <w:p>
            <w:r/>
            <w:r>
              <w:rPr>
                <w:b w:val="0"/>
                <w:sz w:val="17"/>
              </w:rPr>
              <w:t>Finance access by default</w:t>
            </w:r>
          </w:p>
        </w:tc>
      </w:tr>
      <w:tr>
        <w:tc>
          <w:tcPr>
            <w:tcW w:type="dxa" w:w="3360"/>
            <w:vAlign w:val="center"/>
          </w:tcPr>
          <w:p>
            <w:r/>
            <w:r>
              <w:rPr>
                <w:b w:val="0"/>
                <w:sz w:val="17"/>
              </w:rPr>
              <w:t>Finance</w:t>
            </w:r>
          </w:p>
        </w:tc>
        <w:tc>
          <w:tcPr>
            <w:tcW w:type="dxa" w:w="3360"/>
            <w:vAlign w:val="center"/>
          </w:tcPr>
          <w:p>
            <w:r/>
            <w:r>
              <w:rPr>
                <w:b w:val="0"/>
                <w:sz w:val="17"/>
              </w:rPr>
              <w:t>Shared ledger, contributions, expenses, financial reports, permitted penalties/adjustments</w:t>
            </w:r>
          </w:p>
        </w:tc>
        <w:tc>
          <w:tcPr>
            <w:tcW w:type="dxa" w:w="3360"/>
            <w:vAlign w:val="center"/>
          </w:tcPr>
          <w:p>
            <w:r/>
            <w:r>
              <w:rPr>
                <w:b w:val="0"/>
                <w:sz w:val="17"/>
              </w:rPr>
              <w:t>Attendance editing unless separately granted</w:t>
            </w:r>
          </w:p>
        </w:tc>
      </w:tr>
      <w:tr>
        <w:tc>
          <w:tcPr>
            <w:tcW w:type="dxa" w:w="3360"/>
            <w:vAlign w:val="center"/>
            <w:shd w:fill="F7F1E7"/>
          </w:tcPr>
          <w:p>
            <w:r/>
            <w:r>
              <w:rPr>
                <w:b w:val="0"/>
                <w:sz w:val="17"/>
              </w:rPr>
              <w:t>Attendance</w:t>
            </w:r>
          </w:p>
        </w:tc>
        <w:tc>
          <w:tcPr>
            <w:tcW w:type="dxa" w:w="3360"/>
            <w:vAlign w:val="center"/>
            <w:shd w:fill="F7F1E7"/>
          </w:tcPr>
          <w:p>
            <w:r/>
            <w:r>
              <w:rPr>
                <w:b w:val="0"/>
                <w:sz w:val="17"/>
              </w:rPr>
              <w:t>Record attendance, review corrections, view attendance history</w:t>
            </w:r>
          </w:p>
        </w:tc>
        <w:tc>
          <w:tcPr>
            <w:tcW w:type="dxa" w:w="3360"/>
            <w:vAlign w:val="center"/>
            <w:shd w:fill="F7F1E7"/>
          </w:tcPr>
          <w:p>
            <w:r/>
            <w:r>
              <w:rPr>
                <w:b w:val="0"/>
                <w:sz w:val="17"/>
              </w:rPr>
              <w:t>Financial record access</w:t>
            </w:r>
          </w:p>
        </w:tc>
      </w:tr>
      <w:tr>
        <w:tc>
          <w:tcPr>
            <w:tcW w:type="dxa" w:w="3360"/>
            <w:vAlign w:val="center"/>
          </w:tcPr>
          <w:p>
            <w:r/>
            <w:r>
              <w:rPr>
                <w:b w:val="0"/>
                <w:sz w:val="17"/>
              </w:rPr>
              <w:t>Mezmur</w:t>
            </w:r>
          </w:p>
        </w:tc>
        <w:tc>
          <w:tcPr>
            <w:tcW w:type="dxa" w:w="3360"/>
            <w:vAlign w:val="center"/>
          </w:tcPr>
          <w:p>
            <w:r/>
            <w:r>
              <w:rPr>
                <w:b w:val="0"/>
                <w:sz w:val="17"/>
              </w:rPr>
              <w:t>Add/edit/publish shared hymn entries and upload authorized audio/lyrics</w:t>
            </w:r>
          </w:p>
        </w:tc>
        <w:tc>
          <w:tcPr>
            <w:tcW w:type="dxa" w:w="3360"/>
            <w:vAlign w:val="center"/>
          </w:tcPr>
          <w:p>
            <w:r/>
            <w:r>
              <w:rPr>
                <w:b w:val="0"/>
                <w:sz w:val="17"/>
              </w:rPr>
              <w:t>Manage other app areas</w:t>
            </w:r>
          </w:p>
        </w:tc>
      </w:tr>
      <w:tr>
        <w:tc>
          <w:tcPr>
            <w:tcW w:type="dxa" w:w="3360"/>
            <w:vAlign w:val="center"/>
            <w:shd w:fill="F7F1E7"/>
          </w:tcPr>
          <w:p>
            <w:r/>
            <w:r>
              <w:rPr>
                <w:b w:val="0"/>
                <w:sz w:val="17"/>
              </w:rPr>
              <w:t>Ordinary member</w:t>
            </w:r>
          </w:p>
        </w:tc>
        <w:tc>
          <w:tcPr>
            <w:tcW w:type="dxa" w:w="3360"/>
            <w:vAlign w:val="center"/>
            <w:shd w:fill="F7F1E7"/>
          </w:tcPr>
          <w:p>
            <w:r/>
            <w:r>
              <w:rPr>
                <w:b w:val="0"/>
                <w:sz w:val="17"/>
              </w:rPr>
              <w:t>View shared/published content, own profile and own financial/attendance records, personal favorites, submit swap/correction requests</w:t>
            </w:r>
          </w:p>
        </w:tc>
        <w:tc>
          <w:tcPr>
            <w:tcW w:type="dxa" w:w="3360"/>
            <w:vAlign w:val="center"/>
            <w:shd w:fill="F7F1E7"/>
          </w:tcPr>
          <w:p>
            <w:r/>
            <w:r>
              <w:rPr>
                <w:b w:val="0"/>
                <w:sz w:val="17"/>
              </w:rPr>
              <w:t>Edit official shared records or view other members’ private records</w:t>
            </w:r>
          </w:p>
        </w:tc>
      </w:tr>
    </w:tbl>
    <w:p/>
    <w:p>
      <w:pPr>
        <w:pStyle w:val="ListBullet"/>
      </w:pPr>
      <w:r>
        <w:t>Permissions are granular and checked by backend endpoints/database policies for every read and write.</w:t>
      </w:r>
    </w:p>
    <w:p>
      <w:pPr>
        <w:pStyle w:val="ListBullet"/>
      </w:pPr>
      <w:r>
        <w:t>Only the Super Admin can appoint or remove admins. Keep admin assignment history.</w:t>
      </w:r>
    </w:p>
    <w:p>
      <w:pPr>
        <w:pStyle w:val="ListBullet"/>
      </w:pPr>
      <w:r>
        <w:t>A person’s membership status (active/inactive) is separate from account status (invited/active/locked).</w:t>
      </w:r>
    </w:p>
    <w:p>
      <w:pPr>
        <w:pStyle w:val="ListBullet"/>
      </w:pPr>
      <w:r>
        <w:t>Do not hard-delete a member with history; mark inactive and preserve linked records.</w:t>
      </w:r>
    </w:p>
    <w:p>
      <w:pPr>
        <w:pStyle w:val="ListBullet"/>
      </w:pPr>
      <w:r>
        <w:t>Use least privilege and deny access by default.</w:t>
      </w:r>
    </w:p>
    <w:p>
      <w:pPr>
        <w:pStyle w:val="Heading1"/>
      </w:pPr>
      <w:r>
        <w:t>5. Authentication and account lifecycle</w:t>
      </w:r>
    </w:p>
    <w:p>
      <w:pPr>
        <w:pStyle w:val="ListBullet"/>
      </w:pPr>
      <w:r>
        <w:t>No public sign-up. An authorized admin creates a member record and issues a unique, single-use, expiring invitation code.</w:t>
      </w:r>
    </w:p>
    <w:p>
      <w:pPr>
        <w:pStyle w:val="ListBullet"/>
      </w:pPr>
      <w:r>
        <w:t>Invitee enters the code, verifies the invited account context, and creates their own password.</w:t>
      </w:r>
    </w:p>
    <w:p>
      <w:pPr>
        <w:pStyle w:val="ListBullet"/>
      </w:pPr>
      <w:r>
        <w:t>Existing users use the same login form. Role routing occurs after successful server authentication.</w:t>
      </w:r>
    </w:p>
    <w:p>
      <w:pPr>
        <w:pStyle w:val="ListBullet"/>
      </w:pPr>
      <w:r>
        <w:t>Do not store or log plaintext passwords or invitation codes. Store a secure hash/token representation; rate-limit attempts and expire/revoke invitations.</w:t>
      </w:r>
    </w:p>
    <w:p>
      <w:pPr>
        <w:pStyle w:val="ListBullet"/>
      </w:pPr>
      <w:r>
        <w:t>Recovery is initiated by an authorized admin after verifying the member. The admin never sees or chooses the new password; the member completes a secure reset flow.</w:t>
      </w:r>
    </w:p>
    <w:p>
      <w:pPr>
        <w:pStyle w:val="ListBullet"/>
      </w:pPr>
      <w:r>
        <w:t>Show useful validation, expired/used invitation, invalid credentials, network error, loading, and success states without leaking whether sensitive accounts exist.</w:t>
      </w:r>
    </w:p>
    <w:p>
      <w:pPr>
        <w:pStyle w:val="ListBullet"/>
      </w:pPr>
      <w:r>
        <w:t>Protect sessions, sign-out, password change, and privileged actions. Use secure transport and appropriate session expiry.</w:t>
      </w:r>
    </w:p>
    <w:p>
      <w:pPr>
        <w:pStyle w:val="Heading1"/>
      </w:pPr>
      <w:r>
        <w:t>6. Core business rules</w:t>
      </w:r>
    </w:p>
    <w:p>
      <w:pPr>
        <w:pStyle w:val="Heading2"/>
      </w:pPr>
      <w:r>
        <w:t>Gatherings and Ethiopian calendar</w:t>
      </w:r>
    </w:p>
    <w:p>
      <w:pPr>
        <w:pStyle w:val="ListBullet"/>
      </w:pPr>
      <w:r>
        <w:t>The monthly Mahber gathering is on Ethiopian calendar day 27.</w:t>
      </w:r>
    </w:p>
    <w:p>
      <w:pPr>
        <w:pStyle w:val="ListBullet"/>
      </w:pPr>
      <w:r>
        <w:t>Reminders are scheduled for Ethiopian calendar days 24 and 26.</w:t>
      </w:r>
    </w:p>
    <w:p>
      <w:pPr>
        <w:pStyle w:val="ListBullet"/>
      </w:pPr>
      <w:r>
        <w:t>Show Ethiopian dates as primary and Gregorian equivalents alongside them.</w:t>
      </w:r>
    </w:p>
    <w:p>
      <w:pPr>
        <w:pStyle w:val="ListBullet"/>
      </w:pPr>
      <w:r>
        <w:t>Use a tested Ethiopian calendar library/conversion implementation and a clearly defined local timezone; never hand-enter Gregorian equivalents as the source of truth.</w:t>
      </w:r>
    </w:p>
    <w:p>
      <w:pPr>
        <w:pStyle w:val="ListBullet"/>
      </w:pPr>
      <w:r>
        <w:t>If a gathering is changed, update its reminder jobs without duplicates and notify relevant members.</w:t>
      </w:r>
    </w:p>
    <w:p>
      <w:pPr>
        <w:pStyle w:val="Heading2"/>
      </w:pPr>
      <w:r>
        <w:t>Attendance</w:t>
      </w:r>
    </w:p>
    <w:p>
      <w:pPr>
        <w:pStyle w:val="ListBullet"/>
      </w:pPr>
      <w:r>
        <w:t>Allowed statuses: Present, Excused, Late, Absent.</w:t>
      </w:r>
    </w:p>
    <w:p>
      <w:pPr>
        <w:pStyle w:val="ListBullet"/>
      </w:pPr>
      <w:r>
        <w:t>An unentered status is not automatically Absent. Incomplete attendance must remain visibly incomplete.</w:t>
      </w:r>
    </w:p>
    <w:p>
      <w:pPr>
        <w:pStyle w:val="ListBullet"/>
      </w:pPr>
      <w:r>
        <w:t>Only authorized attendance users may save official attendance.</w:t>
      </w:r>
    </w:p>
    <w:p>
      <w:pPr>
        <w:pStyle w:val="ListBullet"/>
      </w:pPr>
      <w:r>
        <w:t>Changes to saved records require a reason and preserve old value, new value, actor, and timestamp.</w:t>
      </w:r>
    </w:p>
    <w:p>
      <w:pPr>
        <w:pStyle w:val="ListBullet"/>
      </w:pPr>
      <w:r>
        <w:t>Excused absences can be reviewed before any penalty is finalized.</w:t>
      </w:r>
    </w:p>
    <w:p>
      <w:pPr>
        <w:pStyle w:val="Heading2"/>
      </w:pPr>
      <w:r>
        <w:t>Hosting rotation</w:t>
      </w:r>
    </w:p>
    <w:p>
      <w:pPr>
        <w:pStyle w:val="ListBullet"/>
      </w:pPr>
      <w:r>
        <w:t>Use one fixed rotation for the 11-member group.</w:t>
      </w:r>
    </w:p>
    <w:p>
      <w:pPr>
        <w:pStyle w:val="ListBullet"/>
      </w:pPr>
      <w:r>
        <w:t>A swap request does not change the active schedule until approved by an authorized person.</w:t>
      </w:r>
    </w:p>
    <w:p>
      <w:pPr>
        <w:pStyle w:val="ListBullet"/>
      </w:pPr>
      <w:r>
        <w:t>Record original assignments, both affected dates/members, requester, decision, approver, timestamp, and reason.</w:t>
      </w:r>
    </w:p>
    <w:p>
      <w:pPr>
        <w:pStyle w:val="ListBullet"/>
      </w:pPr>
      <w:r>
        <w:t>Never silently rewrite historical or future assignments; keep the rotation explainable and auditable.</w:t>
      </w:r>
    </w:p>
    <w:p>
      <w:pPr>
        <w:pStyle w:val="Heading2"/>
      </w:pPr>
      <w:r>
        <w:t>Finance</w:t>
      </w:r>
    </w:p>
    <w:p>
      <w:pPr>
        <w:pStyle w:val="ListBullet"/>
      </w:pPr>
      <w:r>
        <w:t>Regular monthly contribution: 100 ETB per liable member.</w:t>
      </w:r>
    </w:p>
    <w:p>
      <w:pPr>
        <w:pStyle w:val="ListBullet"/>
      </w:pPr>
      <w:r>
        <w:t>Penalty rule: 100 ETB for lateness and 200 ETB for absence, with review possible for excused absences.</w:t>
      </w:r>
    </w:p>
    <w:p>
      <w:pPr>
        <w:pStyle w:val="ListBullet"/>
      </w:pPr>
      <w:r>
        <w:t>Attendance does not automatically finalize a penalty. A permitted, explicit financial decision is required.</w:t>
      </w:r>
    </w:p>
    <w:p>
      <w:pPr>
        <w:pStyle w:val="ListBullet"/>
      </w:pPr>
      <w:r>
        <w:t>Separate expected, pending, confirmed, disputed, reversed, and cancelled records where relevant.</w:t>
      </w:r>
    </w:p>
    <w:p>
      <w:pPr>
        <w:pStyle w:val="ListBullet"/>
      </w:pPr>
      <w:r>
        <w:t>A payment entry is not proof of receipt until confirmed according to the Mahber’s chosen recording process.</w:t>
      </w:r>
    </w:p>
    <w:p>
      <w:pPr>
        <w:pStyle w:val="ListBullet"/>
      </w:pPr>
      <w:r>
        <w:t>Balance formula: opening balance + confirmed inflows − completed/confirmed outflows ± explicit adjustments.</w:t>
      </w:r>
    </w:p>
    <w:p>
      <w:pPr>
        <w:pStyle w:val="ListBullet"/>
      </w:pPr>
      <w:r>
        <w:t>Never overwrite a financial transaction. Use reversal/correction entries with reason, actor, timestamp, and links to the original.</w:t>
      </w:r>
    </w:p>
    <w:p>
      <w:pPr>
        <w:pStyle w:val="Heading2"/>
      </w:pPr>
      <w:r>
        <w:t>Mezmur</w:t>
      </w:r>
    </w:p>
    <w:p>
      <w:pPr>
        <w:pStyle w:val="ListBullet"/>
      </w:pPr>
      <w:r>
        <w:t>All members can browse/search the shared library, read available lyrics, listen to available audio, and manage their own favorites.</w:t>
      </w:r>
    </w:p>
    <w:p>
      <w:pPr>
        <w:pStyle w:val="ListBullet"/>
      </w:pPr>
      <w:r>
        <w:t>Only users with Mezmur permission can create/edit/publish shared entries or upload audio.</w:t>
      </w:r>
    </w:p>
    <w:p>
      <w:pPr>
        <w:pStyle w:val="ListBullet"/>
      </w:pPr>
      <w:r>
        <w:t>Support lyrics-only, audio-only, and combined entries; Amharic is supported and English translation is optional.</w:t>
      </w:r>
    </w:p>
    <w:p>
      <w:pPr>
        <w:pStyle w:val="ListBullet"/>
      </w:pPr>
      <w:r>
        <w:t>Store title, alternate title/English title if supplied, language, category/feast/occasion tags, lyrics, translation, audio object reference, duration/metadata, uploader, status, and timestamps.</w:t>
      </w:r>
    </w:p>
    <w:p>
      <w:pPr>
        <w:pStyle w:val="ListBullet"/>
      </w:pPr>
      <w:r>
        <w:t>Favorites are per-user private records, not shared library state.</w:t>
      </w:r>
    </w:p>
    <w:p>
      <w:pPr>
        <w:pStyle w:val="ListBullet"/>
      </w:pPr>
      <w:r>
        <w:t>Validate file type and size, restrict upload access, and ensure the Mahber is authorized to store/share uploaded recordings and lyrics.</w:t>
      </w:r>
    </w:p>
    <w:p>
      <w:pPr>
        <w:pStyle w:val="Heading2"/>
      </w:pPr>
      <w:r>
        <w:t>Announcements and notifications</w:t>
      </w:r>
    </w:p>
    <w:p>
      <w:pPr>
        <w:pStyle w:val="ListBullet"/>
      </w:pPr>
      <w:r>
        <w:t>Only authorized publishers can publish official announcements.</w:t>
      </w:r>
    </w:p>
    <w:p>
      <w:pPr>
        <w:pStyle w:val="ListBullet"/>
      </w:pPr>
      <w:r>
        <w:t>Notifications link to the related record and respect its access permissions.</w:t>
      </w:r>
    </w:p>
    <w:p>
      <w:pPr>
        <w:pStyle w:val="ListBullet"/>
      </w:pPr>
      <w:r>
        <w:t>Hosting changes notify affected members; finance notifications must never expose another member’s private details.</w:t>
      </w:r>
    </w:p>
    <w:p>
      <w:pPr>
        <w:pStyle w:val="ListBullet"/>
      </w:pPr>
      <w:r>
        <w:t>Prevent duplicate gathering reminders and distinguish optional notifications from important security notices.</w:t>
      </w:r>
    </w:p>
    <w:p>
      <w:pPr>
        <w:pStyle w:val="Heading1"/>
      </w:pPr>
      <w:r>
        <w:t>7. Suggested data model</w:t>
      </w:r>
    </w:p>
    <w:p>
      <w:r>
        <w:t>Use relational records with stable IDs and timestamps. This is a logical model; exact database syntax depends on the selected backend.</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6E2630"/>
          </w:tcPr>
          <w:p>
            <w:r/>
            <w:r>
              <w:rPr>
                <w:b/>
                <w:color w:val="FFFFFF"/>
                <w:sz w:val="17"/>
              </w:rPr>
              <w:t>Entity</w:t>
            </w:r>
          </w:p>
        </w:tc>
        <w:tc>
          <w:tcPr>
            <w:tcW w:type="dxa" w:w="5040"/>
            <w:vAlign w:val="center"/>
            <w:shd w:fill="6E2630"/>
          </w:tcPr>
          <w:p>
            <w:r/>
            <w:r>
              <w:rPr>
                <w:b/>
                <w:color w:val="FFFFFF"/>
                <w:sz w:val="17"/>
              </w:rPr>
              <w:t>Key fields / relationships</w:t>
            </w:r>
          </w:p>
        </w:tc>
      </w:tr>
      <w:tr>
        <w:tc>
          <w:tcPr>
            <w:tcW w:type="dxa" w:w="5040"/>
            <w:vAlign w:val="center"/>
          </w:tcPr>
          <w:p>
            <w:r/>
            <w:r>
              <w:rPr>
                <w:b w:val="0"/>
                <w:sz w:val="17"/>
              </w:rPr>
              <w:t>Member</w:t>
            </w:r>
          </w:p>
        </w:tc>
        <w:tc>
          <w:tcPr>
            <w:tcW w:type="dxa" w:w="5040"/>
            <w:vAlign w:val="center"/>
          </w:tcPr>
          <w:p>
            <w:r/>
            <w:r>
              <w:rPr>
                <w:b w:val="0"/>
                <w:sz w:val="17"/>
              </w:rPr>
              <w:t>id, name, contact fields as needed, membership_status, created_at, deactivated_at</w:t>
            </w:r>
          </w:p>
        </w:tc>
      </w:tr>
      <w:tr>
        <w:tc>
          <w:tcPr>
            <w:tcW w:type="dxa" w:w="5040"/>
            <w:vAlign w:val="center"/>
            <w:shd w:fill="F7F1E7"/>
          </w:tcPr>
          <w:p>
            <w:r/>
            <w:r>
              <w:rPr>
                <w:b w:val="0"/>
                <w:sz w:val="17"/>
              </w:rPr>
              <w:t>UserAccount</w:t>
            </w:r>
          </w:p>
        </w:tc>
        <w:tc>
          <w:tcPr>
            <w:tcW w:type="dxa" w:w="5040"/>
            <w:vAlign w:val="center"/>
            <w:shd w:fill="F7F1E7"/>
          </w:tcPr>
          <w:p>
            <w:r/>
            <w:r>
              <w:rPr>
                <w:b w:val="0"/>
                <w:sz w:val="17"/>
              </w:rPr>
              <w:t>id, member_id, auth_provider_id, account_status, last_login_at</w:t>
            </w:r>
          </w:p>
        </w:tc>
      </w:tr>
      <w:tr>
        <w:tc>
          <w:tcPr>
            <w:tcW w:type="dxa" w:w="5040"/>
            <w:vAlign w:val="center"/>
          </w:tcPr>
          <w:p>
            <w:r/>
            <w:r>
              <w:rPr>
                <w:b w:val="0"/>
                <w:sz w:val="17"/>
              </w:rPr>
              <w:t>Invitation</w:t>
            </w:r>
          </w:p>
        </w:tc>
        <w:tc>
          <w:tcPr>
            <w:tcW w:type="dxa" w:w="5040"/>
            <w:vAlign w:val="center"/>
          </w:tcPr>
          <w:p>
            <w:r/>
            <w:r>
              <w:rPr>
                <w:b w:val="0"/>
                <w:sz w:val="17"/>
              </w:rPr>
              <w:t>id, member_id, token_hash, expires_at, used_at, created_by, revoked_at</w:t>
            </w:r>
          </w:p>
        </w:tc>
      </w:tr>
      <w:tr>
        <w:tc>
          <w:tcPr>
            <w:tcW w:type="dxa" w:w="5040"/>
            <w:vAlign w:val="center"/>
            <w:shd w:fill="F7F1E7"/>
          </w:tcPr>
          <w:p>
            <w:r/>
            <w:r>
              <w:rPr>
                <w:b w:val="0"/>
                <w:sz w:val="17"/>
              </w:rPr>
              <w:t>Role / Permission</w:t>
            </w:r>
          </w:p>
        </w:tc>
        <w:tc>
          <w:tcPr>
            <w:tcW w:type="dxa" w:w="5040"/>
            <w:vAlign w:val="center"/>
            <w:shd w:fill="F7F1E7"/>
          </w:tcPr>
          <w:p>
            <w:r/>
            <w:r>
              <w:rPr>
                <w:b w:val="0"/>
                <w:sz w:val="17"/>
              </w:rPr>
              <w:t>role_id, permission_key, description; user-role or account-permission assignment; granted_by, granted_at</w:t>
            </w:r>
          </w:p>
        </w:tc>
      </w:tr>
      <w:tr>
        <w:tc>
          <w:tcPr>
            <w:tcW w:type="dxa" w:w="5040"/>
            <w:vAlign w:val="center"/>
          </w:tcPr>
          <w:p>
            <w:r/>
            <w:r>
              <w:rPr>
                <w:b w:val="0"/>
                <w:sz w:val="17"/>
              </w:rPr>
              <w:t>Gathering</w:t>
            </w:r>
          </w:p>
        </w:tc>
        <w:tc>
          <w:tcPr>
            <w:tcW w:type="dxa" w:w="5040"/>
            <w:vAlign w:val="center"/>
          </w:tcPr>
          <w:p>
            <w:r/>
            <w:r>
              <w:rPr>
                <w:b w:val="0"/>
                <w:sz w:val="17"/>
              </w:rPr>
              <w:t>id, Ethiopian year/month/day, local date/time, Gregorian equivalent derived/stored with method, venue, host_member_id, status, notes</w:t>
            </w:r>
          </w:p>
        </w:tc>
      </w:tr>
      <w:tr>
        <w:tc>
          <w:tcPr>
            <w:tcW w:type="dxa" w:w="5040"/>
            <w:vAlign w:val="center"/>
            <w:shd w:fill="F7F1E7"/>
          </w:tcPr>
          <w:p>
            <w:r/>
            <w:r>
              <w:rPr>
                <w:b w:val="0"/>
                <w:sz w:val="17"/>
              </w:rPr>
              <w:t>Attendance</w:t>
            </w:r>
          </w:p>
        </w:tc>
        <w:tc>
          <w:tcPr>
            <w:tcW w:type="dxa" w:w="5040"/>
            <w:vAlign w:val="center"/>
            <w:shd w:fill="F7F1E7"/>
          </w:tcPr>
          <w:p>
            <w:r/>
            <w:r>
              <w:rPr>
                <w:b w:val="0"/>
                <w:sz w:val="17"/>
              </w:rPr>
              <w:t>id, gathering_id, member_id, status, note, recorded_by, recorded_at; unique gathering_id + member_id</w:t>
            </w:r>
          </w:p>
        </w:tc>
      </w:tr>
      <w:tr>
        <w:tc>
          <w:tcPr>
            <w:tcW w:type="dxa" w:w="5040"/>
            <w:vAlign w:val="center"/>
          </w:tcPr>
          <w:p>
            <w:r/>
            <w:r>
              <w:rPr>
                <w:b w:val="0"/>
                <w:sz w:val="17"/>
              </w:rPr>
              <w:t>AttendanceChange</w:t>
            </w:r>
          </w:p>
        </w:tc>
        <w:tc>
          <w:tcPr>
            <w:tcW w:type="dxa" w:w="5040"/>
            <w:vAlign w:val="center"/>
          </w:tcPr>
          <w:p>
            <w:r/>
            <w:r>
              <w:rPr>
                <w:b w:val="0"/>
                <w:sz w:val="17"/>
              </w:rPr>
              <w:t>id, attendance_id, old_status, new_status, reason, changed_by, changed_at</w:t>
            </w:r>
          </w:p>
        </w:tc>
      </w:tr>
      <w:tr>
        <w:tc>
          <w:tcPr>
            <w:tcW w:type="dxa" w:w="5040"/>
            <w:vAlign w:val="center"/>
            <w:shd w:fill="F7F1E7"/>
          </w:tcPr>
          <w:p>
            <w:r/>
            <w:r>
              <w:rPr>
                <w:b w:val="0"/>
                <w:sz w:val="17"/>
              </w:rPr>
              <w:t>HostingAssignment</w:t>
            </w:r>
          </w:p>
        </w:tc>
        <w:tc>
          <w:tcPr>
            <w:tcW w:type="dxa" w:w="5040"/>
            <w:vAlign w:val="center"/>
            <w:shd w:fill="F7F1E7"/>
          </w:tcPr>
          <w:p>
            <w:r/>
            <w:r>
              <w:rPr>
                <w:b w:val="0"/>
                <w:sz w:val="17"/>
              </w:rPr>
              <w:t>id, gathering_id, assigned_member_id, original_assignment_id, active_state</w:t>
            </w:r>
          </w:p>
        </w:tc>
      </w:tr>
      <w:tr>
        <w:tc>
          <w:tcPr>
            <w:tcW w:type="dxa" w:w="5040"/>
            <w:vAlign w:val="center"/>
          </w:tcPr>
          <w:p>
            <w:r/>
            <w:r>
              <w:rPr>
                <w:b w:val="0"/>
                <w:sz w:val="17"/>
              </w:rPr>
              <w:t>HostingSwapRequest</w:t>
            </w:r>
          </w:p>
        </w:tc>
        <w:tc>
          <w:tcPr>
            <w:tcW w:type="dxa" w:w="5040"/>
            <w:vAlign w:val="center"/>
          </w:tcPr>
          <w:p>
            <w:r/>
            <w:r>
              <w:rPr>
                <w:b w:val="0"/>
                <w:sz w:val="17"/>
              </w:rPr>
              <w:t>id, requester_id, affected assignments, reason, status, reviewed_by, reviewed_at</w:t>
            </w:r>
          </w:p>
        </w:tc>
      </w:tr>
      <w:tr>
        <w:tc>
          <w:tcPr>
            <w:tcW w:type="dxa" w:w="5040"/>
            <w:vAlign w:val="center"/>
            <w:shd w:fill="F7F1E7"/>
          </w:tcPr>
          <w:p>
            <w:r/>
            <w:r>
              <w:rPr>
                <w:b w:val="0"/>
                <w:sz w:val="17"/>
              </w:rPr>
              <w:t>FinancialTransaction</w:t>
            </w:r>
          </w:p>
        </w:tc>
        <w:tc>
          <w:tcPr>
            <w:tcW w:type="dxa" w:w="5040"/>
            <w:vAlign w:val="center"/>
            <w:shd w:fill="F7F1E7"/>
          </w:tcPr>
          <w:p>
            <w:r/>
            <w:r>
              <w:rPr>
                <w:b w:val="0"/>
                <w:sz w:val="17"/>
              </w:rPr>
              <w:t>id, type, category, amount_minor_units, currency=ETB, status, member_id nullable, gathering_id nullable, reference, recorded_by, confirmed_by, timestamps</w:t>
            </w:r>
          </w:p>
        </w:tc>
      </w:tr>
      <w:tr>
        <w:tc>
          <w:tcPr>
            <w:tcW w:type="dxa" w:w="5040"/>
            <w:vAlign w:val="center"/>
          </w:tcPr>
          <w:p>
            <w:r/>
            <w:r>
              <w:rPr>
                <w:b w:val="0"/>
                <w:sz w:val="17"/>
              </w:rPr>
              <w:t>FinancialAdjustment</w:t>
            </w:r>
          </w:p>
        </w:tc>
        <w:tc>
          <w:tcPr>
            <w:tcW w:type="dxa" w:w="5040"/>
            <w:vAlign w:val="center"/>
          </w:tcPr>
          <w:p>
            <w:r/>
            <w:r>
              <w:rPr>
                <w:b w:val="0"/>
                <w:sz w:val="17"/>
              </w:rPr>
              <w:t>id, original_transaction_id, adjustment/reversal link, reason, actor, timestamp</w:t>
            </w:r>
          </w:p>
        </w:tc>
      </w:tr>
      <w:tr>
        <w:tc>
          <w:tcPr>
            <w:tcW w:type="dxa" w:w="5040"/>
            <w:vAlign w:val="center"/>
            <w:shd w:fill="F7F1E7"/>
          </w:tcPr>
          <w:p>
            <w:r/>
            <w:r>
              <w:rPr>
                <w:b w:val="0"/>
                <w:sz w:val="17"/>
              </w:rPr>
              <w:t>Announcement</w:t>
            </w:r>
          </w:p>
        </w:tc>
        <w:tc>
          <w:tcPr>
            <w:tcW w:type="dxa" w:w="5040"/>
            <w:vAlign w:val="center"/>
            <w:shd w:fill="F7F1E7"/>
          </w:tcPr>
          <w:p>
            <w:r/>
            <w:r>
              <w:rPr>
                <w:b w:val="0"/>
                <w:sz w:val="17"/>
              </w:rPr>
              <w:t>id, title, body, created_by, status, published_at, audience</w:t>
            </w:r>
          </w:p>
        </w:tc>
      </w:tr>
      <w:tr>
        <w:tc>
          <w:tcPr>
            <w:tcW w:type="dxa" w:w="5040"/>
            <w:vAlign w:val="center"/>
          </w:tcPr>
          <w:p>
            <w:r/>
            <w:r>
              <w:rPr>
                <w:b w:val="0"/>
                <w:sz w:val="17"/>
              </w:rPr>
              <w:t>Notification</w:t>
            </w:r>
          </w:p>
        </w:tc>
        <w:tc>
          <w:tcPr>
            <w:tcW w:type="dxa" w:w="5040"/>
            <w:vAlign w:val="center"/>
          </w:tcPr>
          <w:p>
            <w:r/>
            <w:r>
              <w:rPr>
                <w:b w:val="0"/>
                <w:sz w:val="17"/>
              </w:rPr>
              <w:t>id, recipient_account_id, type, related_entity, scheduled_at, sent_at, read_at, status</w:t>
            </w:r>
          </w:p>
        </w:tc>
      </w:tr>
      <w:tr>
        <w:tc>
          <w:tcPr>
            <w:tcW w:type="dxa" w:w="5040"/>
            <w:vAlign w:val="center"/>
            <w:shd w:fill="F7F1E7"/>
          </w:tcPr>
          <w:p>
            <w:r/>
            <w:r>
              <w:rPr>
                <w:b w:val="0"/>
                <w:sz w:val="17"/>
              </w:rPr>
              <w:t>MezmurEntry</w:t>
            </w:r>
          </w:p>
        </w:tc>
        <w:tc>
          <w:tcPr>
            <w:tcW w:type="dxa" w:w="5040"/>
            <w:vAlign w:val="center"/>
            <w:shd w:fill="F7F1E7"/>
          </w:tcPr>
          <w:p>
            <w:r/>
            <w:r>
              <w:rPr>
                <w:b w:val="0"/>
                <w:sz w:val="17"/>
              </w:rPr>
              <w:t>id, title, alternate_title, language, lyrics, translation, category/tags, audio_object_key, status, created_by, published_at</w:t>
            </w:r>
          </w:p>
        </w:tc>
      </w:tr>
      <w:tr>
        <w:tc>
          <w:tcPr>
            <w:tcW w:type="dxa" w:w="5040"/>
            <w:vAlign w:val="center"/>
          </w:tcPr>
          <w:p>
            <w:r/>
            <w:r>
              <w:rPr>
                <w:b w:val="0"/>
                <w:sz w:val="17"/>
              </w:rPr>
              <w:t>MezmurFavorite</w:t>
            </w:r>
          </w:p>
        </w:tc>
        <w:tc>
          <w:tcPr>
            <w:tcW w:type="dxa" w:w="5040"/>
            <w:vAlign w:val="center"/>
          </w:tcPr>
          <w:p>
            <w:r/>
            <w:r>
              <w:rPr>
                <w:b w:val="0"/>
                <w:sz w:val="17"/>
              </w:rPr>
              <w:t>account_id, mezmur_entry_id, created_at; unique account_id + entry_id</w:t>
            </w:r>
          </w:p>
        </w:tc>
      </w:tr>
      <w:tr>
        <w:tc>
          <w:tcPr>
            <w:tcW w:type="dxa" w:w="5040"/>
            <w:vAlign w:val="center"/>
            <w:shd w:fill="F7F1E7"/>
          </w:tcPr>
          <w:p>
            <w:r/>
            <w:r>
              <w:rPr>
                <w:b w:val="0"/>
                <w:sz w:val="17"/>
              </w:rPr>
              <w:t>AuditEvent</w:t>
            </w:r>
          </w:p>
        </w:tc>
        <w:tc>
          <w:tcPr>
            <w:tcW w:type="dxa" w:w="5040"/>
            <w:vAlign w:val="center"/>
            <w:shd w:fill="F7F1E7"/>
          </w:tcPr>
          <w:p>
            <w:r/>
            <w:r>
              <w:rPr>
                <w:b w:val="0"/>
                <w:sz w:val="17"/>
              </w:rPr>
              <w:t>id, actor_id, action, entity_type, entity_id, before/after summary, reason, created_at</w:t>
            </w:r>
          </w:p>
        </w:tc>
      </w:tr>
    </w:tbl>
    <w:p/>
    <w:p>
      <w:r>
        <w:t>Financial amounts should use integer minor units or a carefully specified decimal representation—not floating-point arithmetic. Restrict audit-log visibility and avoid storing passwords, invitation secrets, or unnecessary personal data in logs.</w:t>
      </w:r>
    </w:p>
    <w:p>
      <w:pPr>
        <w:pStyle w:val="Heading1"/>
      </w:pPr>
      <w:r>
        <w:t>8. Key workflows</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6E2630"/>
          </w:tcPr>
          <w:p>
            <w:r/>
            <w:r>
              <w:rPr>
                <w:b/>
                <w:color w:val="FFFFFF"/>
                <w:sz w:val="17"/>
              </w:rPr>
              <w:t>Workflow</w:t>
            </w:r>
          </w:p>
        </w:tc>
        <w:tc>
          <w:tcPr>
            <w:tcW w:type="dxa" w:w="5040"/>
            <w:vAlign w:val="center"/>
            <w:shd w:fill="6E2630"/>
          </w:tcPr>
          <w:p>
            <w:r/>
            <w:r>
              <w:rPr>
                <w:b/>
                <w:color w:val="FFFFFF"/>
                <w:sz w:val="17"/>
              </w:rPr>
              <w:t>Sequence</w:t>
            </w:r>
          </w:p>
        </w:tc>
      </w:tr>
      <w:tr>
        <w:tc>
          <w:tcPr>
            <w:tcW w:type="dxa" w:w="5040"/>
            <w:vAlign w:val="center"/>
          </w:tcPr>
          <w:p>
            <w:r/>
            <w:r>
              <w:rPr>
                <w:b w:val="0"/>
                <w:sz w:val="17"/>
              </w:rPr>
              <w:t>Activate account</w:t>
            </w:r>
          </w:p>
        </w:tc>
        <w:tc>
          <w:tcPr>
            <w:tcW w:type="dxa" w:w="5040"/>
            <w:vAlign w:val="center"/>
          </w:tcPr>
          <w:p>
            <w:r/>
            <w:r>
              <w:rPr>
                <w:b w:val="0"/>
                <w:sz w:val="17"/>
              </w:rPr>
              <w:t>Admin creates member → invitation issued → invitee validates code → creates password → account activated → role-based home</w:t>
            </w:r>
          </w:p>
        </w:tc>
      </w:tr>
      <w:tr>
        <w:tc>
          <w:tcPr>
            <w:tcW w:type="dxa" w:w="5040"/>
            <w:vAlign w:val="center"/>
            <w:shd w:fill="F7F1E7"/>
          </w:tcPr>
          <w:p>
            <w:r/>
            <w:r>
              <w:rPr>
                <w:b w:val="0"/>
                <w:sz w:val="17"/>
              </w:rPr>
              <w:t>Record attendance</w:t>
            </w:r>
          </w:p>
        </w:tc>
        <w:tc>
          <w:tcPr>
            <w:tcW w:type="dxa" w:w="5040"/>
            <w:vAlign w:val="center"/>
            <w:shd w:fill="F7F1E7"/>
          </w:tcPr>
          <w:p>
            <w:r/>
            <w:r>
              <w:rPr>
                <w:b w:val="0"/>
                <w:sz w:val="17"/>
              </w:rPr>
              <w:t>Select gathering → load 11 members → assign explicit statuses → show incomplete counts → save → audit changes</w:t>
            </w:r>
          </w:p>
        </w:tc>
      </w:tr>
      <w:tr>
        <w:tc>
          <w:tcPr>
            <w:tcW w:type="dxa" w:w="5040"/>
            <w:vAlign w:val="center"/>
          </w:tcPr>
          <w:p>
            <w:r/>
            <w:r>
              <w:rPr>
                <w:b w:val="0"/>
                <w:sz w:val="17"/>
              </w:rPr>
              <w:t>Approve host swap</w:t>
            </w:r>
          </w:p>
        </w:tc>
        <w:tc>
          <w:tcPr>
            <w:tcW w:type="dxa" w:w="5040"/>
            <w:vAlign w:val="center"/>
          </w:tcPr>
          <w:p>
            <w:r/>
            <w:r>
              <w:rPr>
                <w:b w:val="0"/>
                <w:sz w:val="17"/>
              </w:rPr>
              <w:t>Member requests swap → authorized reviewer checks affected assignments → approve/reject → update active schedule only after approval → notify affected members → preserve history</w:t>
            </w:r>
          </w:p>
        </w:tc>
      </w:tr>
      <w:tr>
        <w:tc>
          <w:tcPr>
            <w:tcW w:type="dxa" w:w="5040"/>
            <w:vAlign w:val="center"/>
            <w:shd w:fill="F7F1E7"/>
          </w:tcPr>
          <w:p>
            <w:r/>
            <w:r>
              <w:rPr>
                <w:b w:val="0"/>
                <w:sz w:val="17"/>
              </w:rPr>
              <w:t>Record contribution</w:t>
            </w:r>
          </w:p>
        </w:tc>
        <w:tc>
          <w:tcPr>
            <w:tcW w:type="dxa" w:w="5040"/>
            <w:vAlign w:val="center"/>
            <w:shd w:fill="F7F1E7"/>
          </w:tcPr>
          <w:p>
            <w:r/>
            <w:r>
              <w:rPr>
                <w:b w:val="0"/>
                <w:sz w:val="17"/>
              </w:rPr>
              <w:t>Finance user selects member/month → enters amount/date/reference → saves as appropriate status → confirms receipt → ledger and member view update</w:t>
            </w:r>
          </w:p>
        </w:tc>
      </w:tr>
      <w:tr>
        <w:tc>
          <w:tcPr>
            <w:tcW w:type="dxa" w:w="5040"/>
            <w:vAlign w:val="center"/>
          </w:tcPr>
          <w:p>
            <w:r/>
            <w:r>
              <w:rPr>
                <w:b w:val="0"/>
                <w:sz w:val="17"/>
              </w:rPr>
              <w:t>Record expense</w:t>
            </w:r>
          </w:p>
        </w:tc>
        <w:tc>
          <w:tcPr>
            <w:tcW w:type="dxa" w:w="5040"/>
            <w:vAlign w:val="center"/>
          </w:tcPr>
          <w:p>
            <w:r/>
            <w:r>
              <w:rPr>
                <w:b w:val="0"/>
                <w:sz w:val="17"/>
              </w:rPr>
              <w:t>Submit proposal → approval if required → mark paid after payment → ledger recalculates → preserve receipts and audit history</w:t>
            </w:r>
          </w:p>
        </w:tc>
      </w:tr>
      <w:tr>
        <w:tc>
          <w:tcPr>
            <w:tcW w:type="dxa" w:w="5040"/>
            <w:vAlign w:val="center"/>
            <w:shd w:fill="F7F1E7"/>
          </w:tcPr>
          <w:p>
            <w:r/>
            <w:r>
              <w:rPr>
                <w:b w:val="0"/>
                <w:sz w:val="17"/>
              </w:rPr>
              <w:t>Publish Mezmur</w:t>
            </w:r>
          </w:p>
        </w:tc>
        <w:tc>
          <w:tcPr>
            <w:tcW w:type="dxa" w:w="5040"/>
            <w:vAlign w:val="center"/>
            <w:shd w:fill="F7F1E7"/>
          </w:tcPr>
          <w:p>
            <w:r/>
            <w:r>
              <w:rPr>
                <w:b w:val="0"/>
                <w:sz w:val="17"/>
              </w:rPr>
              <w:t>Mezmur admin enters metadata/lyrics → optional audio upload → save draft or publish → members can browse/listen/favorite</w:t>
            </w:r>
          </w:p>
        </w:tc>
      </w:tr>
      <w:tr>
        <w:tc>
          <w:tcPr>
            <w:tcW w:type="dxa" w:w="5040"/>
            <w:vAlign w:val="center"/>
          </w:tcPr>
          <w:p>
            <w:r/>
            <w:r>
              <w:rPr>
                <w:b w:val="0"/>
                <w:sz w:val="17"/>
              </w:rPr>
              <w:t>Correct record</w:t>
            </w:r>
          </w:p>
        </w:tc>
        <w:tc>
          <w:tcPr>
            <w:tcW w:type="dxa" w:w="5040"/>
            <w:vAlign w:val="center"/>
          </w:tcPr>
          <w:p>
            <w:r/>
            <w:r>
              <w:rPr>
                <w:b w:val="0"/>
                <w:sz w:val="17"/>
              </w:rPr>
              <w:t>Authorized user opens record → supplies reason → correction/reversal recorded → original retained → relevant summaries recomputed</w:t>
            </w:r>
          </w:p>
        </w:tc>
      </w:tr>
    </w:tbl>
    <w:p/>
    <w:p>
      <w:pPr>
        <w:pStyle w:val="Heading1"/>
      </w:pPr>
      <w:r>
        <w:t>9. Responsive UX and reusable components</w:t>
      </w:r>
    </w:p>
    <w:p>
      <w:pPr>
        <w:pStyle w:val="ListBullet"/>
      </w:pPr>
      <w:r>
        <w:t>Mobile-first layouts with bottom navigation on phones; adapt to tablet/desktop with wider layouts or side navigation.</w:t>
      </w:r>
    </w:p>
    <w:p>
      <w:pPr>
        <w:pStyle w:val="ListBullet"/>
      </w:pPr>
      <w:r>
        <w:t>Admin tables become stacked, readable member rows on narrow screens; avoid tiny dense data grids.</w:t>
      </w:r>
    </w:p>
    <w:p>
      <w:pPr>
        <w:pStyle w:val="ListBullet"/>
      </w:pPr>
      <w:r>
        <w:t>Shared components: app header, navigation, cards, status chip, date selector, member row, amount display, search/filter, form field, upload field, audio player, confirmation dialog, empty state, error state, loading skeleton, audit timeline.</w:t>
      </w:r>
    </w:p>
    <w:p>
      <w:pPr>
        <w:pStyle w:val="ListBullet"/>
      </w:pPr>
      <w:r>
        <w:t>All destructive/financial/permission changes require a clear review and confirmation step.</w:t>
      </w:r>
    </w:p>
    <w:p>
      <w:pPr>
        <w:pStyle w:val="ListBullet"/>
      </w:pPr>
      <w:r>
        <w:t>Provide visible focus, accessible labels, adequate touch targets, and non-color status cues.</w:t>
      </w:r>
    </w:p>
    <w:p>
      <w:pPr>
        <w:pStyle w:val="ListBullet"/>
      </w:pPr>
      <w:r>
        <w:t>Support English and Amharic throughout the interface, including validation/errors and date formatting.</w:t>
      </w:r>
    </w:p>
    <w:p>
      <w:pPr>
        <w:pStyle w:val="Heading1"/>
      </w:pPr>
      <w:r>
        <w:t>10. Security, privacy, and reliability checklist</w:t>
      </w:r>
    </w:p>
    <w:p>
      <w:pPr>
        <w:pStyle w:val="ListBullet"/>
      </w:pPr>
      <w:r>
        <w:t>Backend authorization for every protected action and record query.</w:t>
      </w:r>
    </w:p>
    <w:p>
      <w:pPr>
        <w:pStyle w:val="ListBullet"/>
      </w:pPr>
      <w:r>
        <w:t>Database-level row access rules for personal financial/attendance data where supported.</w:t>
      </w:r>
    </w:p>
    <w:p>
      <w:pPr>
        <w:pStyle w:val="ListBullet"/>
      </w:pPr>
      <w:r>
        <w:t>Secure password handling via a trusted authentication provider; no plaintext password storage.</w:t>
      </w:r>
    </w:p>
    <w:p>
      <w:pPr>
        <w:pStyle w:val="ListBullet"/>
      </w:pPr>
      <w:r>
        <w:t>Invitation codes expire, are single-use, revocable, rate-limited, and stored safely.</w:t>
      </w:r>
    </w:p>
    <w:p>
      <w:pPr>
        <w:pStyle w:val="ListBullet"/>
      </w:pPr>
      <w:r>
        <w:t>Validate upload MIME type, extension, size, and access permissions; avoid public buckets for private files.</w:t>
      </w:r>
    </w:p>
    <w:p>
      <w:pPr>
        <w:pStyle w:val="ListBullet"/>
      </w:pPr>
      <w:r>
        <w:t>Audit privileged actions, financial changes, attendance corrections, admin assignments, and hosting swaps.</w:t>
      </w:r>
    </w:p>
    <w:p>
      <w:pPr>
        <w:pStyle w:val="ListBullet"/>
      </w:pPr>
      <w:r>
        <w:t>Backups and tested restore process; define who can access backups.</w:t>
      </w:r>
    </w:p>
    <w:p>
      <w:pPr>
        <w:pStyle w:val="ListBullet"/>
      </w:pPr>
      <w:r>
        <w:t>Use HTTPS, secrets in environment variables, and separate development/production credentials.</w:t>
      </w:r>
    </w:p>
    <w:p>
      <w:pPr>
        <w:pStyle w:val="ListBullet"/>
      </w:pPr>
      <w:r>
        <w:t>Prevent duplicate submissions with idempotent writes or uniqueness constraints.</w:t>
      </w:r>
    </w:p>
    <w:p>
      <w:pPr>
        <w:pStyle w:val="ListBullet"/>
      </w:pPr>
      <w:r>
        <w:t>Test direct URL/API access with each role, not just visible UI controls.</w:t>
      </w:r>
    </w:p>
    <w:p>
      <w:pPr>
        <w:pStyle w:val="Heading1"/>
      </w:pPr>
      <w:r>
        <w:t>11. Implementation plan for Antigravity</w:t>
      </w:r>
    </w:p>
    <w:tbl>
      <w:tblPr>
        <w:tblStyle w:val="LightShading-Accent1"/>
        <w:tblW w:type="auto" w:w="0"/>
        <w:tblLook w:firstColumn="1" w:firstRow="1" w:lastColumn="0" w:lastRow="0" w:noHBand="0" w:noVBand="1" w:val="04A0"/>
      </w:tblPr>
      <w:tblGrid>
        <w:gridCol w:w="3360"/>
        <w:gridCol w:w="3360"/>
        <w:gridCol w:w="3360"/>
      </w:tblGrid>
      <w:tr>
        <w:tc>
          <w:tcPr>
            <w:tcW w:type="dxa" w:w="3360"/>
            <w:vAlign w:val="center"/>
            <w:shd w:fill="6E2630"/>
          </w:tcPr>
          <w:p>
            <w:r/>
            <w:r>
              <w:rPr>
                <w:b/>
                <w:color w:val="FFFFFF"/>
                <w:sz w:val="17"/>
              </w:rPr>
              <w:t>Phase</w:t>
            </w:r>
          </w:p>
        </w:tc>
        <w:tc>
          <w:tcPr>
            <w:tcW w:type="dxa" w:w="3360"/>
            <w:vAlign w:val="center"/>
            <w:shd w:fill="6E2630"/>
          </w:tcPr>
          <w:p>
            <w:r/>
            <w:r>
              <w:rPr>
                <w:b/>
                <w:color w:val="FFFFFF"/>
                <w:sz w:val="17"/>
              </w:rPr>
              <w:t>Build order</w:t>
            </w:r>
          </w:p>
        </w:tc>
        <w:tc>
          <w:tcPr>
            <w:tcW w:type="dxa" w:w="3360"/>
            <w:vAlign w:val="center"/>
            <w:shd w:fill="6E2630"/>
          </w:tcPr>
          <w:p>
            <w:r/>
            <w:r>
              <w:rPr>
                <w:b/>
                <w:color w:val="FFFFFF"/>
                <w:sz w:val="17"/>
              </w:rPr>
              <w:t>Acceptance gate</w:t>
            </w:r>
          </w:p>
        </w:tc>
      </w:tr>
      <w:tr>
        <w:tc>
          <w:tcPr>
            <w:tcW w:type="dxa" w:w="3360"/>
            <w:vAlign w:val="center"/>
          </w:tcPr>
          <w:p>
            <w:r/>
            <w:r>
              <w:rPr>
                <w:b w:val="0"/>
                <w:sz w:val="17"/>
              </w:rPr>
              <w:t>0. Inspect current project</w:t>
            </w:r>
          </w:p>
        </w:tc>
        <w:tc>
          <w:tcPr>
            <w:tcW w:type="dxa" w:w="3360"/>
            <w:vAlign w:val="center"/>
          </w:tcPr>
          <w:p>
            <w:r/>
            <w:r>
              <w:rPr>
                <w:b w:val="0"/>
                <w:sz w:val="17"/>
              </w:rPr>
              <w:t>Review existing repository, framework, auth provider, database, deployment, environment variables, and current errors. Do not replace working architecture blindly.</w:t>
            </w:r>
          </w:p>
        </w:tc>
        <w:tc>
          <w:tcPr>
            <w:tcW w:type="dxa" w:w="3360"/>
            <w:vAlign w:val="center"/>
          </w:tcPr>
          <w:p>
            <w:r/>
            <w:r>
              <w:rPr>
                <w:b w:val="0"/>
                <w:sz w:val="17"/>
              </w:rPr>
              <w:t>Written assessment of what exists, what is broken, and proposed minimal changes.</w:t>
            </w:r>
          </w:p>
        </w:tc>
      </w:tr>
      <w:tr>
        <w:tc>
          <w:tcPr>
            <w:tcW w:type="dxa" w:w="3360"/>
            <w:vAlign w:val="center"/>
            <w:shd w:fill="F7F1E7"/>
          </w:tcPr>
          <w:p>
            <w:r/>
            <w:r>
              <w:rPr>
                <w:b w:val="0"/>
                <w:sz w:val="17"/>
              </w:rPr>
              <w:t>1. Foundation</w:t>
            </w:r>
          </w:p>
        </w:tc>
        <w:tc>
          <w:tcPr>
            <w:tcW w:type="dxa" w:w="3360"/>
            <w:vAlign w:val="center"/>
            <w:shd w:fill="F7F1E7"/>
          </w:tcPr>
          <w:p>
            <w:r/>
            <w:r>
              <w:rPr>
                <w:b w:val="0"/>
                <w:sz w:val="17"/>
              </w:rPr>
              <w:t>Design tokens, typography, reusable components, responsive shell, navigation, theme, language infrastructure.</w:t>
            </w:r>
          </w:p>
        </w:tc>
        <w:tc>
          <w:tcPr>
            <w:tcW w:type="dxa" w:w="3360"/>
            <w:vAlign w:val="center"/>
            <w:shd w:fill="F7F1E7"/>
          </w:tcPr>
          <w:p>
            <w:r/>
            <w:r>
              <w:rPr>
                <w:b w:val="0"/>
                <w:sz w:val="17"/>
              </w:rPr>
              <w:t>Visual consistency and mobile layout validated on representative screens.</w:t>
            </w:r>
          </w:p>
        </w:tc>
      </w:tr>
      <w:tr>
        <w:tc>
          <w:tcPr>
            <w:tcW w:type="dxa" w:w="3360"/>
            <w:vAlign w:val="center"/>
          </w:tcPr>
          <w:p>
            <w:r/>
            <w:r>
              <w:rPr>
                <w:b w:val="0"/>
                <w:sz w:val="17"/>
              </w:rPr>
              <w:t>2. Authentication</w:t>
            </w:r>
          </w:p>
        </w:tc>
        <w:tc>
          <w:tcPr>
            <w:tcW w:type="dxa" w:w="3360"/>
            <w:vAlign w:val="center"/>
          </w:tcPr>
          <w:p>
            <w:r/>
            <w:r>
              <w:rPr>
                <w:b w:val="0"/>
                <w:sz w:val="17"/>
              </w:rPr>
              <w:t>Shared login, invitation activation, password setup, recovery, sessions, role routing.</w:t>
            </w:r>
          </w:p>
        </w:tc>
        <w:tc>
          <w:tcPr>
            <w:tcW w:type="dxa" w:w="3360"/>
            <w:vAlign w:val="center"/>
          </w:tcPr>
          <w:p>
            <w:r/>
            <w:r>
              <w:rPr>
                <w:b w:val="0"/>
                <w:sz w:val="17"/>
              </w:rPr>
              <w:t>No public signup; role cannot be self-selected; recovery does not reveal/set the member’s password for them.</w:t>
            </w:r>
          </w:p>
        </w:tc>
      </w:tr>
      <w:tr>
        <w:tc>
          <w:tcPr>
            <w:tcW w:type="dxa" w:w="3360"/>
            <w:vAlign w:val="center"/>
            <w:shd w:fill="F7F1E7"/>
          </w:tcPr>
          <w:p>
            <w:r/>
            <w:r>
              <w:rPr>
                <w:b w:val="0"/>
                <w:sz w:val="17"/>
              </w:rPr>
              <w:t>3. Members and permissions</w:t>
            </w:r>
          </w:p>
        </w:tc>
        <w:tc>
          <w:tcPr>
            <w:tcW w:type="dxa" w:w="3360"/>
            <w:vAlign w:val="center"/>
            <w:shd w:fill="F7F1E7"/>
          </w:tcPr>
          <w:p>
            <w:r/>
            <w:r>
              <w:rPr>
                <w:b w:val="0"/>
                <w:sz w:val="17"/>
              </w:rPr>
              <w:t>Member directory, account states, roles/permissions, Super Admin controls, audit events.</w:t>
            </w:r>
          </w:p>
        </w:tc>
        <w:tc>
          <w:tcPr>
            <w:tcW w:type="dxa" w:w="3360"/>
            <w:vAlign w:val="center"/>
            <w:shd w:fill="F7F1E7"/>
          </w:tcPr>
          <w:p>
            <w:r/>
            <w:r>
              <w:rPr>
                <w:b w:val="0"/>
                <w:sz w:val="17"/>
              </w:rPr>
              <w:t>Backend blocks unauthorized reads/writes; inactive history preserved.</w:t>
            </w:r>
          </w:p>
        </w:tc>
      </w:tr>
      <w:tr>
        <w:tc>
          <w:tcPr>
            <w:tcW w:type="dxa" w:w="3360"/>
            <w:vAlign w:val="center"/>
          </w:tcPr>
          <w:p>
            <w:r/>
            <w:r>
              <w:rPr>
                <w:b w:val="0"/>
                <w:sz w:val="17"/>
              </w:rPr>
              <w:t>4. Gatherings and hosting</w:t>
            </w:r>
          </w:p>
        </w:tc>
        <w:tc>
          <w:tcPr>
            <w:tcW w:type="dxa" w:w="3360"/>
            <w:vAlign w:val="center"/>
          </w:tcPr>
          <w:p>
            <w:r/>
            <w:r>
              <w:rPr>
                <w:b w:val="0"/>
                <w:sz w:val="17"/>
              </w:rPr>
              <w:t>Ethiopian calendar integration, gathering list/details, rotation, swap requests, reminders.</w:t>
            </w:r>
          </w:p>
        </w:tc>
        <w:tc>
          <w:tcPr>
            <w:tcW w:type="dxa" w:w="3360"/>
            <w:vAlign w:val="center"/>
          </w:tcPr>
          <w:p>
            <w:r/>
            <w:r>
              <w:rPr>
                <w:b w:val="0"/>
                <w:sz w:val="17"/>
              </w:rPr>
              <w:t>Calendar dates tested; swaps preserve history; no duplicate reminders.</w:t>
            </w:r>
          </w:p>
        </w:tc>
      </w:tr>
      <w:tr>
        <w:tc>
          <w:tcPr>
            <w:tcW w:type="dxa" w:w="3360"/>
            <w:vAlign w:val="center"/>
            <w:shd w:fill="F7F1E7"/>
          </w:tcPr>
          <w:p>
            <w:r/>
            <w:r>
              <w:rPr>
                <w:b w:val="0"/>
                <w:sz w:val="17"/>
              </w:rPr>
              <w:t>5. Attendance</w:t>
            </w:r>
          </w:p>
        </w:tc>
        <w:tc>
          <w:tcPr>
            <w:tcW w:type="dxa" w:w="3360"/>
            <w:vAlign w:val="center"/>
            <w:shd w:fill="F7F1E7"/>
          </w:tcPr>
          <w:p>
            <w:r/>
            <w:r>
              <w:rPr>
                <w:b w:val="0"/>
                <w:sz w:val="17"/>
              </w:rPr>
              <w:t>Status entry, incomplete-state handling, corrections and history.</w:t>
            </w:r>
          </w:p>
        </w:tc>
        <w:tc>
          <w:tcPr>
            <w:tcW w:type="dxa" w:w="3360"/>
            <w:vAlign w:val="center"/>
            <w:shd w:fill="F7F1E7"/>
          </w:tcPr>
          <w:p>
            <w:r/>
            <w:r>
              <w:rPr>
                <w:b w:val="0"/>
                <w:sz w:val="17"/>
              </w:rPr>
              <w:t>All statuses supported; missing is not treated as absent; corrections audited.</w:t>
            </w:r>
          </w:p>
        </w:tc>
      </w:tr>
      <w:tr>
        <w:tc>
          <w:tcPr>
            <w:tcW w:type="dxa" w:w="3360"/>
            <w:vAlign w:val="center"/>
          </w:tcPr>
          <w:p>
            <w:r/>
            <w:r>
              <w:rPr>
                <w:b w:val="0"/>
                <w:sz w:val="17"/>
              </w:rPr>
              <w:t>6. Finance</w:t>
            </w:r>
          </w:p>
        </w:tc>
        <w:tc>
          <w:tcPr>
            <w:tcW w:type="dxa" w:w="3360"/>
            <w:vAlign w:val="center"/>
          </w:tcPr>
          <w:p>
            <w:r/>
            <w:r>
              <w:rPr>
                <w:b w:val="0"/>
                <w:sz w:val="17"/>
              </w:rPr>
              <w:t>Contribution ledger, expense proposals/approvals, penalties/reviews, member financial view, reports.</w:t>
            </w:r>
          </w:p>
        </w:tc>
        <w:tc>
          <w:tcPr>
            <w:tcW w:type="dxa" w:w="3360"/>
            <w:vAlign w:val="center"/>
          </w:tcPr>
          <w:p>
            <w:r/>
            <w:r>
              <w:rPr>
                <w:b w:val="0"/>
                <w:sz w:val="17"/>
              </w:rPr>
              <w:t>Totals reconcile; private records are isolated; reversals retain original transactions.</w:t>
            </w:r>
          </w:p>
        </w:tc>
      </w:tr>
      <w:tr>
        <w:tc>
          <w:tcPr>
            <w:tcW w:type="dxa" w:w="3360"/>
            <w:vAlign w:val="center"/>
            <w:shd w:fill="F7F1E7"/>
          </w:tcPr>
          <w:p>
            <w:r/>
            <w:r>
              <w:rPr>
                <w:b w:val="0"/>
                <w:sz w:val="17"/>
              </w:rPr>
              <w:t>7. Mezmur and announcements</w:t>
            </w:r>
          </w:p>
        </w:tc>
        <w:tc>
          <w:tcPr>
            <w:tcW w:type="dxa" w:w="3360"/>
            <w:vAlign w:val="center"/>
            <w:shd w:fill="F7F1E7"/>
          </w:tcPr>
          <w:p>
            <w:r/>
            <w:r>
              <w:rPr>
                <w:b w:val="0"/>
                <w:sz w:val="17"/>
              </w:rPr>
              <w:t>Library, lyrics, audio uploads/player, personal favorites, publishing, announcements/notifications.</w:t>
            </w:r>
          </w:p>
        </w:tc>
        <w:tc>
          <w:tcPr>
            <w:tcW w:type="dxa" w:w="3360"/>
            <w:vAlign w:val="center"/>
            <w:shd w:fill="F7F1E7"/>
          </w:tcPr>
          <w:p>
            <w:r/>
            <w:r>
              <w:rPr>
                <w:b w:val="0"/>
                <w:sz w:val="17"/>
              </w:rPr>
              <w:t>Only authorized admins modify shared content; favorites remain per-user; uploads validated.</w:t>
            </w:r>
          </w:p>
        </w:tc>
      </w:tr>
      <w:tr>
        <w:tc>
          <w:tcPr>
            <w:tcW w:type="dxa" w:w="3360"/>
            <w:vAlign w:val="center"/>
          </w:tcPr>
          <w:p>
            <w:r/>
            <w:r>
              <w:rPr>
                <w:b w:val="0"/>
                <w:sz w:val="17"/>
              </w:rPr>
              <w:t>8. QA and deployment</w:t>
            </w:r>
          </w:p>
        </w:tc>
        <w:tc>
          <w:tcPr>
            <w:tcW w:type="dxa" w:w="3360"/>
            <w:vAlign w:val="center"/>
          </w:tcPr>
          <w:p>
            <w:r/>
            <w:r>
              <w:rPr>
                <w:b w:val="0"/>
                <w:sz w:val="17"/>
              </w:rPr>
              <w:t>Responsive/device testing, localization, security tests, backups, monitoring, production configuration.</w:t>
            </w:r>
          </w:p>
        </w:tc>
        <w:tc>
          <w:tcPr>
            <w:tcW w:type="dxa" w:w="3360"/>
            <w:vAlign w:val="center"/>
          </w:tcPr>
          <w:p>
            <w:r/>
            <w:r>
              <w:rPr>
                <w:b w:val="0"/>
                <w:sz w:val="17"/>
              </w:rPr>
              <w:t>All role-based acceptance tests pass; restore and deployment documented.</w:t>
            </w:r>
          </w:p>
        </w:tc>
      </w:tr>
    </w:tbl>
    <w:p/>
    <w:p>
      <w:r>
        <w:t>Build incrementally. Do not ask Antigravity to generate the entire app in one pass. Inspect and test each phase before proceeding, and preserve the existing repository architecture unless there is a clear reason to change it.</w:t>
      </w:r>
    </w:p>
    <w:p>
      <w:pPr>
        <w:pStyle w:val="Heading1"/>
      </w:pPr>
      <w:r>
        <w:t>12. Minimum acceptance test matrix</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6E2630"/>
          </w:tcPr>
          <w:p>
            <w:r/>
            <w:r>
              <w:rPr>
                <w:b/>
                <w:color w:val="FFFFFF"/>
                <w:sz w:val="17"/>
              </w:rPr>
              <w:t>Test as</w:t>
            </w:r>
          </w:p>
        </w:tc>
        <w:tc>
          <w:tcPr>
            <w:tcW w:type="dxa" w:w="5040"/>
            <w:vAlign w:val="center"/>
            <w:shd w:fill="6E2630"/>
          </w:tcPr>
          <w:p>
            <w:r/>
            <w:r>
              <w:rPr>
                <w:b/>
                <w:color w:val="FFFFFF"/>
                <w:sz w:val="17"/>
              </w:rPr>
              <w:t>Must verify</w:t>
            </w:r>
          </w:p>
        </w:tc>
      </w:tr>
      <w:tr>
        <w:tc>
          <w:tcPr>
            <w:tcW w:type="dxa" w:w="5040"/>
            <w:vAlign w:val="center"/>
          </w:tcPr>
          <w:p>
            <w:r/>
            <w:r>
              <w:rPr>
                <w:b w:val="0"/>
                <w:sz w:val="17"/>
              </w:rPr>
              <w:t>Ordinary member</w:t>
            </w:r>
          </w:p>
        </w:tc>
        <w:tc>
          <w:tcPr>
            <w:tcW w:type="dxa" w:w="5040"/>
            <w:vAlign w:val="center"/>
          </w:tcPr>
          <w:p>
            <w:r/>
            <w:r>
              <w:rPr>
                <w:b w:val="0"/>
                <w:sz w:val="17"/>
              </w:rPr>
              <w:t>Can log in, see member home, browse published Mezmur, favorite entries, view own financial/attendance history, and cannot access other members’ private records or admin endpoints.</w:t>
            </w:r>
          </w:p>
        </w:tc>
      </w:tr>
      <w:tr>
        <w:tc>
          <w:tcPr>
            <w:tcW w:type="dxa" w:w="5040"/>
            <w:vAlign w:val="center"/>
            <w:shd w:fill="F7F1E7"/>
          </w:tcPr>
          <w:p>
            <w:r/>
            <w:r>
              <w:rPr>
                <w:b w:val="0"/>
                <w:sz w:val="17"/>
              </w:rPr>
              <w:t>Finance admin only</w:t>
            </w:r>
          </w:p>
        </w:tc>
        <w:tc>
          <w:tcPr>
            <w:tcW w:type="dxa" w:w="5040"/>
            <w:vAlign w:val="center"/>
            <w:shd w:fill="F7F1E7"/>
          </w:tcPr>
          <w:p>
            <w:r/>
            <w:r>
              <w:rPr>
                <w:b w:val="0"/>
                <w:sz w:val="17"/>
              </w:rPr>
              <w:t>Can manage authorized financial records but cannot edit attendance or appoint admins unless separately granted.</w:t>
            </w:r>
          </w:p>
        </w:tc>
      </w:tr>
      <w:tr>
        <w:tc>
          <w:tcPr>
            <w:tcW w:type="dxa" w:w="5040"/>
            <w:vAlign w:val="center"/>
          </w:tcPr>
          <w:p>
            <w:r/>
            <w:r>
              <w:rPr>
                <w:b w:val="0"/>
                <w:sz w:val="17"/>
              </w:rPr>
              <w:t>Attendance admin only</w:t>
            </w:r>
          </w:p>
        </w:tc>
        <w:tc>
          <w:tcPr>
            <w:tcW w:type="dxa" w:w="5040"/>
            <w:vAlign w:val="center"/>
          </w:tcPr>
          <w:p>
            <w:r/>
            <w:r>
              <w:rPr>
                <w:b w:val="0"/>
                <w:sz w:val="17"/>
              </w:rPr>
              <w:t>Can record/correct attendance with reasons but cannot read/manage shared financial records without finance permission.</w:t>
            </w:r>
          </w:p>
        </w:tc>
      </w:tr>
      <w:tr>
        <w:tc>
          <w:tcPr>
            <w:tcW w:type="dxa" w:w="5040"/>
            <w:vAlign w:val="center"/>
            <w:shd w:fill="F7F1E7"/>
          </w:tcPr>
          <w:p>
            <w:r/>
            <w:r>
              <w:rPr>
                <w:b w:val="0"/>
                <w:sz w:val="17"/>
              </w:rPr>
              <w:t>Mezmur admin only</w:t>
            </w:r>
          </w:p>
        </w:tc>
        <w:tc>
          <w:tcPr>
            <w:tcW w:type="dxa" w:w="5040"/>
            <w:vAlign w:val="center"/>
            <w:shd w:fill="F7F1E7"/>
          </w:tcPr>
          <w:p>
            <w:r/>
            <w:r>
              <w:rPr>
                <w:b w:val="0"/>
                <w:sz w:val="17"/>
              </w:rPr>
              <w:t>Can upload/edit/publish Mezmur but cannot manage finances or appoint admins.</w:t>
            </w:r>
          </w:p>
        </w:tc>
      </w:tr>
      <w:tr>
        <w:tc>
          <w:tcPr>
            <w:tcW w:type="dxa" w:w="5040"/>
            <w:vAlign w:val="center"/>
          </w:tcPr>
          <w:p>
            <w:r/>
            <w:r>
              <w:rPr>
                <w:b w:val="0"/>
                <w:sz w:val="17"/>
              </w:rPr>
              <w:t>Super Admin</w:t>
            </w:r>
          </w:p>
        </w:tc>
        <w:tc>
          <w:tcPr>
            <w:tcW w:type="dxa" w:w="5040"/>
            <w:vAlign w:val="center"/>
          </w:tcPr>
          <w:p>
            <w:r/>
            <w:r>
              <w:rPr>
                <w:b w:val="0"/>
                <w:sz w:val="17"/>
              </w:rPr>
              <w:t>Can appoint/remove admins and manage role assignments; every privileged change is audited. Other sensitive data access follows explicit permission policy.</w:t>
            </w:r>
          </w:p>
        </w:tc>
      </w:tr>
      <w:tr>
        <w:tc>
          <w:tcPr>
            <w:tcW w:type="dxa" w:w="5040"/>
            <w:vAlign w:val="center"/>
            <w:shd w:fill="F7F1E7"/>
          </w:tcPr>
          <w:p>
            <w:r/>
            <w:r>
              <w:rPr>
                <w:b w:val="0"/>
                <w:sz w:val="17"/>
              </w:rPr>
              <w:t>Inactive member</w:t>
            </w:r>
          </w:p>
        </w:tc>
        <w:tc>
          <w:tcPr>
            <w:tcW w:type="dxa" w:w="5040"/>
            <w:vAlign w:val="center"/>
            <w:shd w:fill="F7F1E7"/>
          </w:tcPr>
          <w:p>
            <w:r/>
            <w:r>
              <w:rPr>
                <w:b w:val="0"/>
                <w:sz w:val="17"/>
              </w:rPr>
              <w:t>Cannot authenticate/use protected member features if policy disables access; historical attendance, hosting, and finance records remain intact.</w:t>
            </w:r>
          </w:p>
        </w:tc>
      </w:tr>
      <w:tr>
        <w:tc>
          <w:tcPr>
            <w:tcW w:type="dxa" w:w="5040"/>
            <w:vAlign w:val="center"/>
          </w:tcPr>
          <w:p>
            <w:r/>
            <w:r>
              <w:rPr>
                <w:b w:val="0"/>
                <w:sz w:val="17"/>
              </w:rPr>
              <w:t>Calendar/reminders</w:t>
            </w:r>
          </w:p>
        </w:tc>
        <w:tc>
          <w:tcPr>
            <w:tcW w:type="dxa" w:w="5040"/>
            <w:vAlign w:val="center"/>
          </w:tcPr>
          <w:p>
            <w:r/>
            <w:r>
              <w:rPr>
                <w:b w:val="0"/>
                <w:sz w:val="17"/>
              </w:rPr>
              <w:t>Gathering is scheduled for Ethiopian day 27; reminders occur on 24 and 26; conversion and timezone tests pass; edits do not duplicate reminders.</w:t>
            </w:r>
          </w:p>
        </w:tc>
      </w:tr>
      <w:tr>
        <w:tc>
          <w:tcPr>
            <w:tcW w:type="dxa" w:w="5040"/>
            <w:vAlign w:val="center"/>
            <w:shd w:fill="F7F1E7"/>
          </w:tcPr>
          <w:p>
            <w:r/>
            <w:r>
              <w:rPr>
                <w:b w:val="0"/>
                <w:sz w:val="17"/>
              </w:rPr>
              <w:t>Finance integrity</w:t>
            </w:r>
          </w:p>
        </w:tc>
        <w:tc>
          <w:tcPr>
            <w:tcW w:type="dxa" w:w="5040"/>
            <w:vAlign w:val="center"/>
            <w:shd w:fill="F7F1E7"/>
          </w:tcPr>
          <w:p>
            <w:r/>
            <w:r>
              <w:rPr>
                <w:b w:val="0"/>
                <w:sz w:val="17"/>
              </w:rPr>
              <w:t>Pending money is not counted as received; ledger balance reconciles; correction/reversal preserves original entry and reason.</w:t>
            </w:r>
          </w:p>
        </w:tc>
      </w:tr>
    </w:tbl>
    <w:p/>
    <w:p>
      <w:pPr>
        <w:pStyle w:val="Heading1"/>
      </w:pPr>
      <w:r>
        <w:t>13. Decisions to confirm during implementation</w:t>
      </w:r>
    </w:p>
    <w:p>
      <w:pPr>
        <w:pStyle w:val="ListBullet"/>
      </w:pPr>
      <w:r>
        <w:t>Choose/confirm the backend and authentication provider based on the existing repository; do not assume a provider before inspecting it.</w:t>
      </w:r>
    </w:p>
    <w:p>
      <w:pPr>
        <w:pStyle w:val="ListBullet"/>
      </w:pPr>
      <w:r>
        <w:t>Define the exact host-swap approval authority and whether swaps require both affected members’ consent.</w:t>
      </w:r>
    </w:p>
    <w:p>
      <w:pPr>
        <w:pStyle w:val="ListBullet"/>
      </w:pPr>
      <w:r>
        <w:t>Define the expense approval threshold/process and who confirms a payment was received/paid.</w:t>
      </w:r>
    </w:p>
    <w:p>
      <w:pPr>
        <w:pStyle w:val="ListBullet"/>
      </w:pPr>
      <w:r>
        <w:t>Decide whether Mezmur uploads publish immediately or require a second reviewer.</w:t>
      </w:r>
    </w:p>
    <w:p>
      <w:pPr>
        <w:pStyle w:val="ListBullet"/>
      </w:pPr>
      <w:r>
        <w:t>Choose backup retention, notification delivery channels, and permitted audio file-size limits.</w:t>
      </w:r>
    </w:p>
    <w:p>
      <w:pPr>
        <w:pStyle w:val="ListBullet"/>
      </w:pPr>
      <w:r>
        <w:t>Confirm whether the Super Admin has finance access by default or receives it as a separate permission; recommended default is least privilege.</w:t>
      </w:r>
    </w:p>
    <w:p>
      <w:pPr>
        <w:pStyle w:val="Heading1"/>
      </w:pPr>
      <w:r>
        <w:t>14. First Antigravity instruction</w:t>
      </w:r>
    </w:p>
    <w:p>
      <w:r>
        <w:t>“First inspect the existing MAHBER repository and deployment. Do not rebuild or overwrite the app yet. Report the current framework, routes/screens, auth implementation, database schema, environment configuration, deployment status, and known errors. Compare the existing implementation against the MAHBER Master Product Blueprint. Identify the smallest safe next step, the files likely to change, and the tests needed. Do not invent environment secrets, fake financial data, or claim functionality works without verifying it. Preserve existing working features and ask before destructive migrations.”</w:t>
      </w:r>
    </w:p>
    <w:p/>
    <w:p>
      <w:pPr>
        <w:jc w:val="center"/>
      </w:pPr>
      <w:r>
        <w:rPr>
          <w:b/>
          <w:color w:val="9A7738"/>
          <w:sz w:val="22"/>
        </w:rPr>
        <w:t>MAHBER • Faith • Fellowship • Together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B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E26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9A773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39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A17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