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Bengali Cyberbullying Detection: A Multi-Track Benchmark with Fusion, Explainability, and Uncertainty Quantification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color w:val="ff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Dipta Sarker, Md. Rahmatullah Mia, Mahdi Hasan,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M. Shawon Biswas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Department of Computer Science and Engineering, University of Global Village (UGV), Barishal, Bangladesh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  <w:sectPr>
          <w:pgSz w:h="15840" w:w="12240" w:orient="portrait"/>
          <w:pgMar w:bottom="1080" w:top="1080" w:left="1080" w:right="1080" w:header="708" w:footer="708"/>
          <w:pgNumType w:start="1"/>
          <w:cols w:equalWidth="0" w:num="1">
            <w:col w:space="0" w:w="10080"/>
          </w:cols>
        </w:sectPr>
      </w:pPr>
      <w:r w:rsidDel="00000000" w:rsidR="00000000" w:rsidRPr="00000000">
        <w:rPr>
          <w:rtl w:val="0"/>
        </w:rPr>
        <w:t xml:space="preserve">ugvbarisal@gmail.com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sz w:val="18"/>
          <w:szCs w:val="18"/>
        </w:rPr>
        <w:sectPr>
          <w:type w:val="continuous"/>
          <w:pgSz w:h="15840" w:w="12240" w:orient="portrait"/>
          <w:pgMar w:bottom="1080" w:top="1080" w:left="1080" w:right="1080" w:header="708" w:footer="708"/>
          <w:cols w:equalWidth="0" w:num="1">
            <w:col w:space="0" w:w="100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Abstract</w:t>
      </w:r>
      <w:r w:rsidDel="00000000" w:rsidR="00000000" w:rsidRPr="00000000">
        <w:rPr>
          <w:sz w:val="18"/>
          <w:szCs w:val="18"/>
          <w:rtl w:val="0"/>
        </w:rPr>
        <w:t xml:space="preserve">: Bengali cyberbullying is difficult to detect automatically because the language is morphologically rich, code-mixed with English, and under-resourced for Natural Language Processing (NLP). We present a seventeen-model benchmark spanning classical lexical classifiers using word- and character-level Term Frequency-Inverse Document Frequency(TF-IDF), static embeddings (Word2Vec, FastText, GloVe), deep networks (TextCNN, Bidirectional Long Short-Term Memory (BiLSTM) with attention), fine-tuned Bangla transformers (BanglaBERT, BanglaELECTRA), and fusion/ensemble combinations, evaluated on a public 29,836-comment Bengali hate-speech corpus under a stratified 70/15/15 split with eleven metrics, bootstrap confidence intervals (CI), and pairwise McNemar tests.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 stacked ensemble attains the numerically highest test F1-macro (0.8951, 95% CI [0.8856, 0.9050]; accuracy = 0.9068; Matthews Correlation Coefficient (MCC) = 0.790), though this is statistically indistinguishable from the single best transformer, BanglaELECTRA (0.8927); both, however, are a modest, statistically distinguishable improvement over the best classical baseline, TF-IDF+XGBoost (0.8828; McNemar p &lt; 0.05). Given the added inference cost of ensembling, BanglaELECTRA alone offers a practical, near-optimal single-model alternative.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We further quantify predictive uncertainty via Monte Carlo Dropout (MC-Dropout) and temperature scaling (Expected Calibration Error (ECE) reduced from 0.0324 to 0.0248), explain predictions with SHapley Additive exPlanations (SHAP) and Local Interpretable Model-agnostic Explanations (LIME), and run a data audit ruling out leakage as the cause of the observed performance ceiling.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To test whether the comparative ranking reproduces beyond one corpus, we further replicate the full protocol end-to-end on a second, independent Bengali hate-speech corpus (BD-SHS, 50,281 comments) and find the model ranking reproduces almost exactly (Spearman ρ=0.988, p&lt;0.001), even though absolute scores differ with the corpora's differing label balance.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Index Terms</w:t>
      </w:r>
      <w:r w:rsidDel="00000000" w:rsidR="00000000" w:rsidRPr="00000000">
        <w:rPr>
          <w:sz w:val="18"/>
          <w:szCs w:val="18"/>
          <w:rtl w:val="0"/>
        </w:rPr>
        <w:t xml:space="preserve">: Bengali hate speech, cyberbullying detection, BanglaBERT, BanglaELECTRA, ensemble learning, explainable AI, uncertainty quantification.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5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The rapid growth of Bengali-language social media use across Bangladesh and West Bengal has been accompanied by increasing cyberbullying, harassment, and hate speech targeting public figures, celebrities, and ordinary users [1]. Bengali presents significant Natural Language Processing  (NLP) challenges due to its morphological richness and low-resource status [2],[3]; moderation systems built for English often transfer poorly.</w:t>
      </w:r>
      <w:r w:rsidDel="00000000" w:rsidR="00000000" w:rsidRPr="00000000">
        <w:rPr>
          <w:color w:val="ff0000"/>
          <w:rtl w:val="0"/>
        </w:rPr>
        <w:t xml:space="preserve">We follow the source corpus's framing [1]: the annotated label is binary hate-speech/non-hate-speech, treated as a proxy for the broader cyberbullying problem; "hate speech" names the classification target and "cyberbullying" the motivating application throughout.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Existing studies have largely focused on individual model families using different datasets, splits, and protocols, making it difficult to tell whether gains arise from representations, architectures, or experimental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5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To address this gap, this paper presents a unified, multi-track comparative study using a common evaluation harness, train/validation/test split, and metric registry on a public 30,000-comment Bengali hate-speech corpus [1], spanning lexical Term Frequency-Inverse Document Frequency (TF-IDF), static word embeddings, deep neural sequence models, fine-tuned transformers, and fusion/ensemble approaches. Beyond predictive performance, we treat explainability and predictive uncertainty as first-class criteria, since a moderation system that cannot justify a decision or flag its own uncertainty is difficult to deploy responsibly. In summary, this paper contributes: (i) a controlled seventeen-model benchmark validated with bootstrap and McNemar tests; (ii) a stacked-ensemble and late-fusion scheme outperforming every individual model; (iii) complementary explainability and uncertainty-quantification analyses; and (iv) a data-audit/ablation phase ruling out leakage artefacts.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3" w:before="8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II. RELATED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4" w:line="2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Early Bengali hate-speech research relied on classical machine learning over lexical features.</w:t>
      </w:r>
      <w:r w:rsidDel="00000000" w:rsidR="00000000" w:rsidRPr="00000000">
        <w:rPr>
          <w:color w:val="ff0000"/>
          <w:highlight w:val="white"/>
          <w:rtl w:val="0"/>
        </w:rPr>
        <w:t xml:space="preserve"> Romim et al.</w:t>
      </w:r>
      <w:r w:rsidDel="00000000" w:rsidR="00000000" w:rsidRPr="00000000">
        <w:rPr>
          <w:color w:val="ff0000"/>
          <w:rtl w:val="0"/>
        </w:rPr>
        <w:t xml:space="preserve"> released a 30,000-comment YouTube/Facebook corpus spanning seven categories and reported a Support Vector Machine (SVM) baseline reaching 87.5% accuracy, with Gated Recurrent Unit (GRU)-based deep models evaluated alongside [1]. The corpus used in the present paper is the same public release. Karim et al. proposed a multichannel</w:t>
      </w:r>
      <w:r w:rsidDel="00000000" w:rsidR="00000000" w:rsidRPr="00000000">
        <w:rPr>
          <w:color w:val="ff0000"/>
          <w:highlight w:val="white"/>
          <w:rtl w:val="0"/>
        </w:rPr>
        <w:t xml:space="preserve"> convolutional-LSTM </w:t>
      </w:r>
      <w:r w:rsidDel="00000000" w:rsidR="00000000" w:rsidRPr="00000000">
        <w:rPr>
          <w:color w:val="ff0000"/>
          <w:rtl w:val="0"/>
        </w:rPr>
        <w:t xml:space="preserve">architecture for under-resourced Bengali classification benchmarks [2], and subsequently introduced DeepHateExplainer, which paired a transformer ensemble (Bangla-BERT-base, multilingual BERT, XLM-RoBERTa) with sensitivity analysis and layer-wise relevance propagation to produce human-interpretable explanations [3], a motivation this paper shares, though we use SHapley Additive exPlanations (SHAP) and Local Interpretable Model-agnostic Explanations (LIME) rather than LRP. Larger benchmarks have since appeared, including the BD-SHS corpus of over 50,000 annotated comments [4] and hierarchical multi-category corpora such as HateCorpBN-XL [5].</w:t>
      </w:r>
    </w:p>
    <w:p w:rsidR="00000000" w:rsidDel="00000000" w:rsidP="00000000" w:rsidRDefault="00000000" w:rsidRPr="00000000" w14:paraId="0000000D">
      <w:pPr>
        <w:spacing w:after="64" w:line="2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the modelling side, TextCNN [6] and attention-augmented BiLSTMs built on Bahdanau-style additive attention [7] remain competitive sequence-level baselines once initialised from in-domain static embeddings. Transformer encoders BERT [8], its distilled variant DistilBERT [9], RoBERTa [10], and the replaced-token-detection objective of ELECTRA [11] have been adapted to Bengali through BanglaBERT and related pretraining [12], and are used directly here. Compared to this literature, our contribution is not a new architecture but a controlled comparison across architecture families under one protocol, together with fusion, ensembling, explainability, and uncertainty analyses rarely reported jointly for Bengali abusive-language detection. For interpretability, we draw on SHAP [13] for global feature attributions and LIME [14] for local, model-agnostic case explanations; for uncertainty, we use Monte Carlo Dropout (MC-Dropout) [15], deep-ensemble disagreement [16], and post-hoc temperature scaling [17].</w:t>
      </w:r>
    </w:p>
    <w:p w:rsidR="00000000" w:rsidDel="00000000" w:rsidP="00000000" w:rsidRDefault="00000000" w:rsidRPr="00000000" w14:paraId="0000000E">
      <w:pPr>
        <w:spacing w:after="130" w:line="2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Zero/few-shot LLM prompting has recently emerged as a lower-effort alternative to fine-tuning for low-resource hate speech, with early Bengali work alongside the fine-tuned-transformer line here, trading fine-tuning cost for higher inference cost, typically matching but not exceeding fine-tuned encoders in-domain. We treat a systematic LLM baseline on this corpus as future work (Sec. XII), not a claim made here, since it needs a dedicated prompt-design study beyond this paper's scope.</w:t>
      </w:r>
    </w:p>
    <w:p w:rsidR="00000000" w:rsidDel="00000000" w:rsidP="00000000" w:rsidRDefault="00000000" w:rsidRPr="00000000" w14:paraId="0000000F">
      <w:pPr>
        <w:spacing w:after="240" w:before="240" w:line="25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III. DATASET AND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50" w:lineRule="auto"/>
        <w:jc w:val="both"/>
        <w:rPr/>
      </w:pPr>
      <w:r w:rsidDel="00000000" w:rsidR="00000000" w:rsidRPr="00000000">
        <w:rPr>
          <w:rtl w:val="0"/>
        </w:rPr>
        <w:t xml:space="preserve">We use the public Bengali hate-speech corpus of</w:t>
      </w:r>
      <w:r w:rsidDel="00000000" w:rsidR="00000000" w:rsidRPr="00000000">
        <w:rPr>
          <w:highlight w:val="white"/>
          <w:rtl w:val="0"/>
        </w:rPr>
        <w:t xml:space="preserve"> Romim et al.</w:t>
      </w:r>
      <w:r w:rsidDel="00000000" w:rsidR="00000000" w:rsidRPr="00000000">
        <w:rPr>
          <w:rtl w:val="0"/>
        </w:rPr>
        <w:t xml:space="preserve"> [1]: 30,000 YouTube/Facebook comments, majority-vote labelled hate speech (1) or non-hate speech (0) across seven source categories. After dropping empty/duplicate rows (0.6% negatives, 0.4% positives; audited in Sec. IX), 29,836 comments remain (33.4%/66.6% split; Table I). Crime-related content carries the highest hate rate (42.0%) across the seven source categories, celebrity content the lowest (20.2%); </w:t>
      </w:r>
      <w:r w:rsidDel="00000000" w:rsidR="00000000" w:rsidRPr="00000000">
        <w:rPr>
          <w:color w:val="ff0000"/>
          <w:rtl w:val="0"/>
        </w:rPr>
        <w:t xml:space="preserve">Frequent-unigram and word-cloud analyses show that hate-speech posts are dominated by profanity and second-person invective, whereas non-hate-speech posts are characterized by more neutral topical vocabulary (Fig. 2)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  <w:t xml:space="preserve"> Two parallel text views are produced: a clean, lower-cased view (URLs/@-mentions replaced with placeholders, Bengali Unicode block U+0980–U+09FF and code, mixed Latin retained) feeding the lexical/embedding/deep tracks, and a raw view left for transformer subword tokenisers. Data are split 70/15/15 with label stratification and a fixed seed; validation is used for all model-selection decisions, and the test split is touched once per model. </w:t>
      </w:r>
      <w:r w:rsidDel="00000000" w:rsidR="00000000" w:rsidRPr="00000000">
        <w:rPr>
          <w:rtl w:val="0"/>
        </w:rPr>
      </w:r>
    </w:p>
    <w:tbl>
      <w:tblPr>
        <w:tblStyle w:val="Table1"/>
        <w:tblW w:w="4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2325"/>
        <w:tblGridChange w:id="0">
          <w:tblGrid>
            <w:gridCol w:w="2595"/>
            <w:gridCol w:w="2325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samples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29,836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Hate speech (1)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9,958 (33.4%)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Non-hate speech (0)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19,878 (66.6%)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Avg. words/post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14.69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Median words/post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Vocabulary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62,419</w:t>
            </w:r>
          </w:p>
        </w:tc>
      </w:tr>
    </w:tbl>
    <w:p w:rsidR="00000000" w:rsidDel="00000000" w:rsidP="00000000" w:rsidRDefault="00000000" w:rsidRPr="00000000" w14:paraId="0000001F">
      <w:pPr>
        <w:spacing w:after="120" w:before="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TABLE I     :  Dataset statistics (post-cleaning).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24175" cy="106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1. Class balance (left) and post-length distribution by class (right).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12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2971800" cy="153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12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2971800" cy="1536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Fig. 2. Word clouds for non-bullying (top) and bullying (bottom) posts, rendered with a Bangla-capable font.</w:t>
      </w:r>
    </w:p>
    <w:p w:rsidR="00000000" w:rsidDel="00000000" w:rsidP="00000000" w:rsidRDefault="00000000" w:rsidRPr="00000000" w14:paraId="00000025">
      <w:pPr>
        <w:spacing w:after="2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24316" cy="2524316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316" cy="2524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40" w:lineRule="auto"/>
        <w:jc w:val="center"/>
        <w:rPr/>
      </w:pPr>
      <w:sdt>
        <w:sdtPr>
          <w:id w:val="-33774242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16"/>
              <w:szCs w:val="16"/>
              <w:rtl w:val="0"/>
            </w:rPr>
            <w:t xml:space="preserve">Fig.3:  Data preprocessing pipeline: raw corpus → cleaning → EDA/stratified split → feature representation.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IV.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5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All models are registered through a single evaluation harness, so every comparison draws on an identical set of stored validation/test probabilities.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A. Classical &amp; Static-Embedding Baselines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5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Word-level (1–2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gram, 30,000 features) and character-level (3–5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gram, 30,000 features) TF-IDF are concatenated into a </w:t>
      </w:r>
      <w:r w:rsidDel="00000000" w:rsidR="00000000" w:rsidRPr="00000000">
        <w:rPr>
          <w:rtl w:val="0"/>
        </w:rPr>
        <w:t xml:space="preserve">60,000-dimensional</w:t>
      </w:r>
      <w:r w:rsidDel="00000000" w:rsidR="00000000" w:rsidRPr="00000000">
        <w:rPr>
          <w:sz w:val="20"/>
          <w:szCs w:val="20"/>
          <w:rtl w:val="0"/>
        </w:rPr>
        <w:t xml:space="preserve"> sparse representation; the character channel is included specifically because it is robust to obfuscated profanity that word-level tokenisation misses. Logistic regression, linear SVM (Platt-calibrated), multinomial Naive Bayes, and XGBoost are trained on this representation with class-balanced weighting (linear models) or a positive-class scale weight (XGBoost). An auxiliary-feature ablation concatenates a one-hot post-category vector onto the TF-IDF space. Static embeddings Word2Vec and FastText (skip-gram, 100-d, trained on the training split only) and, where available, 100-d GloVe vectors are mean-pooled per post and fed to a standardised logistic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 Deep Neural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5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TextCNN [6] applies parallel 1-D convolutions (kernel widths 3/4/5, 128 filters each) over token embeddings initialised from the in-domain Word2Vec vectors, followed by max-pooling and a dropout-regularised classification head. A BiLSTM with additive (Bahdanau-style) attention [7] processes the same embedding input; the attention distribution is retained for the mechanistic explainability comparison (Sec. VII-B). Both networks are trained with class-weighted cross-entropy and early stopping on validation F1-macro.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C. Fine-Tuned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50" w:lineRule="auto"/>
        <w:jc w:val="both"/>
        <w:rPr/>
      </w:pPr>
      <w:r w:rsidDel="00000000" w:rsidR="00000000" w:rsidRPr="00000000">
        <w:rPr>
          <w:rtl w:val="0"/>
        </w:rPr>
        <w:t xml:space="preserve">BanglaBERT and BanglaELECTRA (cse-buetnlp Bangla pretraining releases [12]) are fine-tuned end-to-end on the raw text view (Sec. III) with mixed-precision (fp16) training, linear warm-up, gradient clipping, and class-weighted cross-entropy (hyperparameters in Table II); the validation-best checkpoint is restored before test evaluation. BanglaELECTRA outperforms BanglaBERT on validation F1-macro, so its mean-pooled 768-d last-hidden-state representation is used as the contextual embedding for the fusion track. </w:t>
      </w:r>
    </w:p>
    <w:p w:rsidR="00000000" w:rsidDel="00000000" w:rsidP="00000000" w:rsidRDefault="00000000" w:rsidRPr="00000000" w14:paraId="0000002F">
      <w:pPr>
        <w:spacing w:after="130" w:before="130" w:line="220" w:lineRule="auto"/>
        <w:jc w:val="both"/>
        <w:rPr>
          <w:color w:val="ff0000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D. Representation Fusion &amp; Ensembling</w:t>
      </w:r>
      <w:r w:rsidDel="00000000" w:rsidR="00000000" w:rsidRPr="00000000">
        <w:rPr>
          <w:color w:val="ff0000"/>
          <w:rtl w:val="0"/>
        </w:rPr>
        <w:t xml:space="preserve"> Early fusion concatenates a 300-d SVD-TF-IDF projection, 100-d Word2Vec, and 768-d transformer embedding into a 1,168-d vector, classified with logistic regression or a 256-unit MLP. Late fusion averages six members' probabilities weighted by validation F1-macro. Soft voting averages the four strongest members; stacking trains a logistic-regression meta-learner on held-out validation probabilities of all six (standard held-out stacking protocol), applied once to test probabilities. The same validation split is used both for checkpoint selection and meta-learner training (no separate meta-fold or out-of-fold stacking), so the reported ensemble gain may be mildly optimistic.</w:t>
      </w:r>
    </w:p>
    <w:p w:rsidR="00000000" w:rsidDel="00000000" w:rsidP="00000000" w:rsidRDefault="00000000" w:rsidRPr="00000000" w14:paraId="00000030">
      <w:pPr>
        <w:spacing w:after="240" w:before="240" w:line="25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5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19425" cy="1371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4: Model families feeding early/late fusion and soft-voting/stacking ensembles.</w:t>
      </w:r>
      <w:r w:rsidDel="00000000" w:rsidR="00000000" w:rsidRPr="00000000">
        <w:rPr>
          <w:rtl w:val="0"/>
        </w:rPr>
      </w:r>
    </w:p>
    <w:tbl>
      <w:tblPr>
        <w:tblStyle w:val="Table2"/>
        <w:tblW w:w="4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150"/>
        <w:tblGridChange w:id="0">
          <w:tblGrid>
            <w:gridCol w:w="1800"/>
            <w:gridCol w:w="3150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Key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TextCNN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128 filters×{3,4,5}, dropout 0.5, Adam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BiLSTM+Attn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Bi-dir., additive attn., dropout 0.5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Bangla transf.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max_len 64, batch 32, fp16, 3 epochs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Fusion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hidden layer (256 u.), early stop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Stacking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LogReg meta-learner, 6-member probs</w:t>
            </w:r>
          </w:p>
        </w:tc>
      </w:tr>
    </w:tbl>
    <w:p w:rsidR="00000000" w:rsidDel="00000000" w:rsidP="00000000" w:rsidRDefault="00000000" w:rsidRPr="00000000" w14:paraId="00000040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TABLE   II  :  Key hyperparameters by component.</w:t>
      </w:r>
    </w:p>
    <w:p w:rsidR="00000000" w:rsidDel="00000000" w:rsidP="00000000" w:rsidRDefault="00000000" w:rsidRPr="00000000" w14:paraId="00000041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V. EXPERIMENTAL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4" w:line="220" w:lineRule="auto"/>
        <w:ind w:left="7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Every model is scored on the held-out test split (n=4,475) with eleven metrics (accuracy, precision, recall, F1, F1-macro, ROC-AUC, PR-AUC, MCC, Brier, ECE/MCE) plus latency and parameter count. F1-macro is the primary selection criterion under 1:2 class imbalance. Classical models are additionally validated with 5-fold stratified cross-validation (CV)(re-fitting TF-IDF per fold). Paired bootstrap (1,000 resamples) yields 95% CIs for performance uncertainty; continuity-corrected McNemar tests separately assess paired prediction-error disagreement between models, not F1-macro significance directly. Experiments ran on a Kaggle Tesla T4 GPU with PyTorch/HuggingFace, scikit-learn, gensim, XGBoost, and SHAP/LIME (total runtime 3 h).</w:t>
      </w:r>
    </w:p>
    <w:p w:rsidR="00000000" w:rsidDel="00000000" w:rsidP="00000000" w:rsidRDefault="00000000" w:rsidRPr="00000000" w14:paraId="00000043">
      <w:pPr>
        <w:spacing w:after="120" w:line="25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VI. COMPARATIVE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38450" cy="28384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40" w:lineRule="auto"/>
        <w:jc w:val="center"/>
        <w:rPr/>
      </w:pPr>
      <w:sdt>
        <w:sdtPr>
          <w:id w:val="199206264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16"/>
              <w:szCs w:val="16"/>
              <w:rtl w:val="0"/>
            </w:rPr>
            <w:t xml:space="preserve">Fig. 5: Evaluation pipeline: comparative metrics → XAI → uncertainty quantification → paper-ready outputs.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4" w:line="2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Table III reports the top ten of seventeen registered models by test F1-macro with bootstrap 95% CIs (full 17-model, 11-metric table in the released repository). The stacked and soft-vote ensembles are statistically indistinguishable from each other (F1-macro = 0.8951) and edge out weighted late fusion (0.8944) and BanglaELECTRA (0.8927); their CIs overlap substantially, so the fusion/ensembling gain over the best single transformer, while consistent in direction, is modest in absolute size. For latency- or compute-constrained deployment, this makes BanglaELECTRA alone a defensible choice over the costlier ensemble. Pairwise McNemar tests, which compare paired prediction disagreement rather than testing F1-macro differences directly, show the three ensemble/fusion variants' error patterns do not differ significantly from one another (p&gt;0.05) but do differ significantly from TF-IDF+XGBoost's (p&lt;0.05); no multiple-comparison correction (e.g., Bonferroni) was applied across these tests, so this is suggestive rather than confirmatory, with Table III/IV's bootstrap CIs as the primary uncertainty estimate. Five-fold CV on the four classical models (Table V) sits within 2–4 points of the corresponding single-split test scores, indicating the results are not an artifact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 of a favourable split. The stacked ensemble's confusion matrix shows 93.2% of non-hate-speech and 85.7% of hate-speech posts correctly identified; the 14.3% false-negative rate concentrates on implicit/sarcastic hate speech lacking explicit lexical triggers, and ROC-AUC≥0.</w:t>
      </w:r>
      <w:r w:rsidDel="00000000" w:rsidR="00000000" w:rsidRPr="00000000">
        <w:rPr>
          <w:color w:val="ff0000"/>
          <w:rtl w:val="0"/>
        </w:rPr>
        <w:t xml:space="preserve">94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 for all top-8 models, with ensembles reaching the highest PR-AUC (≈0.93).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5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230"/>
        <w:gridCol w:w="1380"/>
        <w:tblGridChange w:id="0">
          <w:tblGrid>
            <w:gridCol w:w="2340"/>
            <w:gridCol w:w="1230"/>
            <w:gridCol w:w="1380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F1-macro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95%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Ensemble (stacking)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0.8951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[.8856,.9050]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Ensemble (soft-vote)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0.8951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[.8852,.9048]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Fusion (wtd.)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0.8944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[.8849,.9044]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BanglaELECTRA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0.8927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[.8824,.9025]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Fusion (MLP)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0.8916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[.8816,.9016]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Fusion (LogReg)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0.8850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[.8750,.8945]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TF-IDF+XGBoost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0.8828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[.8726,.8930]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BanglaBERT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0.8814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[.8718,.8915]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TF-IDF+LogReg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0.8795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[.8699,.8895]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TF-IDF+LinearSVM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0.8721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A">
      <w:pPr>
        <w:spacing w:after="120" w:before="40" w:lineRule="auto"/>
        <w:jc w:val="center"/>
        <w:rPr>
          <w:sz w:val="16"/>
          <w:szCs w:val="16"/>
        </w:rPr>
        <w:sectPr>
          <w:type w:val="continuous"/>
          <w:pgSz w:h="15840" w:w="12240" w:orient="portrait"/>
          <w:pgMar w:bottom="1080" w:top="1080" w:left="907.2" w:right="907.2" w:header="708" w:footer="708"/>
          <w:cols w:equalWidth="0" w:num="2">
            <w:col w:space="360" w:w="5032.799999999999"/>
            <w:col w:space="0" w:w="5032.799999999999"/>
          </w:cols>
        </w:sectPr>
      </w:pPr>
      <w:r w:rsidDel="00000000" w:rsidR="00000000" w:rsidRPr="00000000">
        <w:rPr>
          <w:sz w:val="16"/>
          <w:szCs w:val="16"/>
          <w:rtl w:val="0"/>
        </w:rPr>
        <w:t xml:space="preserve">TABLE III:  Top-10 models, test set (n=4,475), by F1-macro with bootstrap 95% CI.</w:t>
      </w:r>
    </w:p>
    <w:p w:rsidR="00000000" w:rsidDel="00000000" w:rsidP="00000000" w:rsidRDefault="00000000" w:rsidRPr="00000000" w14:paraId="0000006B">
      <w:pPr>
        <w:spacing w:after="160" w:lineRule="auto"/>
        <w:rPr>
          <w:b w:val="1"/>
          <w:bCs w:val="1"/>
          <w:i w:val="1"/>
          <w:iCs w:val="1"/>
          <w:sz w:val="17"/>
          <w:szCs w:val="17"/>
        </w:rPr>
        <w:sectPr>
          <w:type w:val="continuous"/>
          <w:pgSz w:h="15840" w:w="12240" w:orient="portrait"/>
          <w:pgMar w:bottom="1080" w:top="1080" w:left="907.2" w:right="907.2" w:header="708" w:footer="708"/>
          <w:cols w:equalWidth="0" w:num="1">
            <w:col w:space="0" w:w="10425.5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110"/>
        <w:gridCol w:w="690"/>
        <w:gridCol w:w="690"/>
        <w:gridCol w:w="690"/>
        <w:gridCol w:w="675"/>
        <w:gridCol w:w="675"/>
        <w:gridCol w:w="675"/>
        <w:gridCol w:w="675"/>
        <w:gridCol w:w="675"/>
        <w:gridCol w:w="930"/>
        <w:tblGridChange w:id="0">
          <w:tblGrid>
            <w:gridCol w:w="2895"/>
            <w:gridCol w:w="1110"/>
            <w:gridCol w:w="690"/>
            <w:gridCol w:w="690"/>
            <w:gridCol w:w="690"/>
            <w:gridCol w:w="675"/>
            <w:gridCol w:w="675"/>
            <w:gridCol w:w="675"/>
            <w:gridCol w:w="675"/>
            <w:gridCol w:w="675"/>
            <w:gridCol w:w="9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F1-mac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ROC-AUC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PR-AUC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Ensemble (stacking)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Ensemble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0.9068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0.8626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0.8574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0.9639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0.9304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0.7902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0.0258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Ensemble (soft-vote)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Ensemble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0.9057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0.8616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0.9637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0.9310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0.7905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0.0231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Fusion (weighted)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0.8602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0.9621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0.9287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0.7889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0.0290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BanglaELECTRA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Transformer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0.9032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0.8360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0.8591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0.9605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0.9227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0.7862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0.0324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Fusion (MLP)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0.9032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0.8502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0.8621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0.8561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0.9587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0.9273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0.7833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0.0340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Fusion (LogReg)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0.8143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0.8503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0.9541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0.9138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0.7719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0.0421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 + 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Classical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0.9495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0.9170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0.7656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0.0186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BanglaBERT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Transformer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0.9572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0.9218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0.7659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0.0646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 + LogReg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Classical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0.8367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0.8392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0.9502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0.9080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0.7590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0.0535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 + Category + LogReg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Classical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0.8366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0.8394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0.8380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0.9506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0.9099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0.7565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0.0518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 + LinearSVM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Classical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0.7784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0.8248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0.9455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0.9037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0.7475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0.0178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TextCNN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Deep 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0.7791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0.8086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0.8589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0.9361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0.0122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BiLSTM + Attention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Deep 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0.8691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0.7881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0.8313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0.8091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0.8547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0.9352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0.0321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 + NaiveBayes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Classical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0.8530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0.7659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0.8059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0.7854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0.8368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0.9202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0.6742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0.0748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FastText + LogReg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Static Emb.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0.8366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0.7401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0.7871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0.7629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0.8191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0.9042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0.8216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0.6392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0.0464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Word2Vec + LogReg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Static Emb.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0.7677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0.7393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0.7946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0.0488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GloVe + LogReg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Static Emb.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0.7140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0.5583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0.6854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0.6154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0.6939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0.7620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0.5957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0.3967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0.0539</w:t>
            </w:r>
          </w:p>
        </w:tc>
      </w:tr>
    </w:tbl>
    <w:p w:rsidR="00000000" w:rsidDel="00000000" w:rsidP="00000000" w:rsidRDefault="00000000" w:rsidRPr="00000000" w14:paraId="00000133">
      <w:pPr>
        <w:spacing w:after="160" w:lineRule="auto"/>
        <w:jc w:val="center"/>
        <w:rPr>
          <w:sz w:val="16"/>
          <w:szCs w:val="16"/>
        </w:rPr>
        <w:sectPr>
          <w:type w:val="continuous"/>
          <w:pgSz w:h="15840" w:w="12240" w:orient="portrait"/>
          <w:pgMar w:bottom="1080" w:top="1080" w:left="907.2" w:right="907.2" w:header="708" w:footer="708"/>
          <w:cols w:equalWidth="0" w:num="1">
            <w:col w:space="0" w:w="10425.599999999999"/>
          </w:cols>
        </w:sectPr>
      </w:pPr>
      <w:r w:rsidDel="00000000" w:rsidR="00000000" w:rsidRPr="00000000">
        <w:rPr>
          <w:sz w:val="16"/>
          <w:szCs w:val="16"/>
          <w:rtl w:val="0"/>
        </w:rPr>
        <w:t xml:space="preserve">TABLE  IV   :  MASTER RESULTS TABLE (TEST SET, n = 4,475), SORTED BY F1-MACRO</w:t>
      </w:r>
    </w:p>
    <w:p w:rsidR="00000000" w:rsidDel="00000000" w:rsidP="00000000" w:rsidRDefault="00000000" w:rsidRPr="00000000" w14:paraId="00000134">
      <w:pPr>
        <w:spacing w:after="160" w:lineRule="auto"/>
        <w:jc w:val="left"/>
        <w:rPr>
          <w:i w:val="1"/>
          <w:iCs w:val="1"/>
          <w:color w:val="ff0000"/>
          <w:sz w:val="16"/>
          <w:szCs w:val="16"/>
        </w:rPr>
        <w:sectPr>
          <w:type w:val="continuous"/>
          <w:pgSz w:h="15840" w:w="12240" w:orient="portrait"/>
          <w:pgMar w:bottom="1080" w:top="1080" w:left="907.2" w:right="907.2" w:header="708" w:footer="708"/>
          <w:cols w:equalWidth="0" w:num="1">
            <w:col w:space="0" w:w="10425.599999999999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397764</wp:posOffset>
            </wp:positionH>
            <wp:positionV relativeFrom="paragraph">
              <wp:posOffset>160635</wp:posOffset>
            </wp:positionV>
            <wp:extent cx="2681478" cy="2466975"/>
            <wp:effectExtent b="0" l="0" r="0" t="0"/>
            <wp:wrapSquare wrapText="bothSides" distB="0" distT="0" distL="0" distR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478" cy="246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spacing w:after="120" w:before="40" w:lineRule="auto"/>
        <w:jc w:val="left"/>
        <w:rPr>
          <w:sz w:val="16"/>
          <w:szCs w:val="16"/>
        </w:rPr>
        <w:sectPr>
          <w:type w:val="continuous"/>
          <w:pgSz w:h="15840" w:w="12240" w:orient="portrait"/>
          <w:pgMar w:bottom="1080" w:top="1080" w:left="907.2" w:right="907.2" w:header="708" w:footer="708"/>
          <w:cols w:equalWidth="0" w:num="2">
            <w:col w:space="720" w:w="4852.799999999999"/>
            <w:col w:space="0" w:w="4852.7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before="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6. F1-macro with 95% bootstrap confidence intervals, all 17 registered models.</w:t>
      </w:r>
      <w:r w:rsidDel="00000000" w:rsidR="00000000" w:rsidRPr="00000000">
        <w:rPr>
          <w:rtl w:val="0"/>
        </w:rPr>
      </w:r>
    </w:p>
    <w:tbl>
      <w:tblPr>
        <w:tblStyle w:val="Table5"/>
        <w:tblW w:w="4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0"/>
        <w:gridCol w:w="1380"/>
        <w:gridCol w:w="1120"/>
        <w:tblGridChange w:id="0">
          <w:tblGrid>
            <w:gridCol w:w="2360"/>
            <w:gridCol w:w="1380"/>
            <w:gridCol w:w="1120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CV F1-mac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CV Acc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TF-IDF+LogReg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0.8443±.004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0.8616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TF-IDF+LinearSVM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0.8432±.003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0.8651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TF-IDF+NaiveBayes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0.8134±.005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0.8424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TF-IDF+XGBoost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0.8433±.004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0.8646</w:t>
            </w:r>
          </w:p>
        </w:tc>
      </w:tr>
    </w:tbl>
    <w:p w:rsidR="00000000" w:rsidDel="00000000" w:rsidP="00000000" w:rsidRDefault="00000000" w:rsidRPr="00000000" w14:paraId="00000152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TABLE V   :  5-fold stratified cross-validation, classical models.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731139</wp:posOffset>
            </wp:positionH>
            <wp:positionV relativeFrom="paragraph">
              <wp:posOffset>180330</wp:posOffset>
            </wp:positionV>
            <wp:extent cx="1733550" cy="1571625"/>
            <wp:effectExtent b="0" l="0" r="0" t="0"/>
            <wp:wrapSquare wrapText="bothSides" distB="0" distT="0" distL="0" distR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spacing w:after="20"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before="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7. Confusion matrix, stacked ensemble, test set (F1-macro = 0.895).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81250" cy="18002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before="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8. Multi-metric radar profile, top-5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VII. EXPLAINABLE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50" w:lineRule="auto"/>
        <w:jc w:val="both"/>
        <w:rPr/>
      </w:pPr>
      <w:r w:rsidDel="00000000" w:rsidR="00000000" w:rsidRPr="00000000">
        <w:rPr>
          <w:rtl w:val="0"/>
        </w:rPr>
        <w:t xml:space="preserve">Four complementary views are produced: (i) global coefficients, (ii) SHAP, (iii) LIME, (iv) attention-based mechanistic comparison, matching current practice for abusive-language systems [3],[13],[14]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A. Global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50" w:lineRule="auto"/>
        <w:jc w:val="both"/>
        <w:rPr/>
      </w:pPr>
      <w:r w:rsidDel="00000000" w:rsidR="00000000" w:rsidRPr="00000000">
        <w:rPr>
          <w:rtl w:val="0"/>
        </w:rPr>
        <w:t xml:space="preserve">Logistic-regression coefficients and a SHAP beeswarm over the combined word/character TF-IDF space both surface explicit profanity and second-person pejoratives as the dominant positive-class drivers; the character-n-gram channel specifically catches obfuscated spellings that whole-word features miss. </w:t>
      </w:r>
    </w:p>
    <w:p w:rsidR="00000000" w:rsidDel="00000000" w:rsidP="00000000" w:rsidRDefault="00000000" w:rsidRPr="00000000" w14:paraId="00000161">
      <w:pPr>
        <w:spacing w:after="2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647950" cy="2171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9. SHAP beeswarm plot for the TF-IDF logistic-regression model, top features by mean |SHAP value|.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 Local Explanations (LIME) &amp; Mechanistic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50" w:lineRule="auto"/>
        <w:jc w:val="both"/>
        <w:rPr/>
      </w:pPr>
      <w:r w:rsidDel="00000000" w:rsidR="00000000" w:rsidRPr="00000000">
        <w:rPr>
          <w:rtl w:val="0"/>
        </w:rPr>
        <w:t xml:space="preserve">LIME [14] case studies on the best transformer, one per confusion-matrix quadrant, show sarcasm misleading false negatives and topical-but-benign vocabulary over-weighted in false positives. Transformer CLS-attention spans a broader token range than BiLSTM additive-attention, which concentrates on one or two lexical triggers — consistent with how each architecture generalises to bullying language lacking an isolated profane token. A token-level SHAP explanation over the transformer's sub-word tokenisation is released as interactive HTML in the artifact bundle.</w:t>
      </w:r>
    </w:p>
    <w:p w:rsidR="00000000" w:rsidDel="00000000" w:rsidP="00000000" w:rsidRDefault="00000000" w:rsidRPr="00000000" w14:paraId="00000165">
      <w:pPr>
        <w:spacing w:after="120" w:line="25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VIII. UNCERTAINTY QUANTIFICATION AND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5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 moderation system that silently misclassifies is more dangerous than one that flags its own uncertainty; we quantify predictive uncertainty for the best transformer along three 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32" w:before="53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A. MC-Dropout: Aleatoric vs. Epistemic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4" w:line="2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Twenty stochastic forward passes with dropout active at inference (MC-Dropout [15]) decompose predictive entropy per test example into aleatoric (data-inherent) and epistemic (model-inherent, mutual-information/BALD) components. Concretely, total predictive entropy H[y|x]=H[E_t p_t(y|x)] is split into expected entropy E_t[H[p_t(y|x)]] (aleatoric) and their difference, the mutual information I(y;θ|x) (epistemic/BALD), following Gal &amp; Ghahramani [15]. Misclassified examples carry more than double the entropy of correct ones (0.476 vs. 0.208; Table VI), with both components elevated; errors concentrate on genuinely ambiguous posts rather than being uniformly distributed.</w:t>
      </w:r>
    </w:p>
    <w:p w:rsidR="00000000" w:rsidDel="00000000" w:rsidP="00000000" w:rsidRDefault="00000000" w:rsidRPr="00000000" w14:paraId="00000169">
      <w:pPr>
        <w:spacing w:after="120" w:line="25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 Selective Prediction &amp; C.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50" w:lineRule="auto"/>
        <w:jc w:val="both"/>
        <w:rPr/>
      </w:pPr>
      <w:sdt>
        <w:sdtPr>
          <w:id w:val="158796886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0"/>
              <w:szCs w:val="20"/>
              <w:rtl w:val="0"/>
            </w:rPr>
            <w:t xml:space="preserve">Ranking test examples by predictive uncertainty and abstaining on the least-confident fraction traces a risk–coverage curve: at 80% coverage (abstaining on the most uncertain 20% of posts) test error drops substantially below full-coverage error, indicating the uncertainty estimate is well-ordered and could support a human-in-the-loop moderation queue. Post-hoc temperature scaling (T=1.15, fit on validation logits) reduces ECE by 23% (0.0324→0.0248) and MCE by 20% (0.1724→0.1380) with a small Brier improvement, at zero cost to the underlying accuracy ranking since it is a monotonic transform of the logits (Table VII).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647950" cy="1752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before="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10. Risk–coverage curve for selective prediction on the best transformer.</w:t>
      </w:r>
      <w:r w:rsidDel="00000000" w:rsidR="00000000" w:rsidRPr="00000000">
        <w:rPr>
          <w:rtl w:val="0"/>
        </w:rPr>
      </w:r>
    </w:p>
    <w:tbl>
      <w:tblPr>
        <w:tblStyle w:val="Table6"/>
        <w:tblW w:w="4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60"/>
        <w:gridCol w:w="860"/>
        <w:gridCol w:w="860"/>
        <w:gridCol w:w="1080"/>
        <w:tblGridChange w:id="0">
          <w:tblGrid>
            <w:gridCol w:w="1300"/>
            <w:gridCol w:w="760"/>
            <w:gridCol w:w="860"/>
            <w:gridCol w:w="860"/>
            <w:gridCol w:w="1080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Aleat.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Epist.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Correct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4,024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0.208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0.204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0.004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Misclassified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451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0.476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0.457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0.019</w:t>
            </w:r>
          </w:p>
        </w:tc>
      </w:tr>
    </w:tbl>
    <w:p w:rsidR="00000000" w:rsidDel="00000000" w:rsidP="00000000" w:rsidRDefault="00000000" w:rsidRPr="00000000" w14:paraId="0000017D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TABLE VI:  Predictive entropy decomposition, correct vs. misclassified.</w:t>
      </w:r>
    </w:p>
    <w:tbl>
      <w:tblPr>
        <w:tblStyle w:val="Table7"/>
        <w:tblW w:w="4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705"/>
        <w:gridCol w:w="825"/>
        <w:gridCol w:w="735"/>
        <w:gridCol w:w="960"/>
        <w:tblGridChange w:id="0">
          <w:tblGrid>
            <w:gridCol w:w="1605"/>
            <w:gridCol w:w="705"/>
            <w:gridCol w:w="825"/>
            <w:gridCol w:w="735"/>
            <w:gridCol w:w="960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Before (T=1.00)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0.0324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0.1724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0.0748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0.2563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After (T=1.15)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0.0248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0.1380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0.0734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0.2505</w:t>
            </w:r>
          </w:p>
        </w:tc>
      </w:tr>
    </w:tbl>
    <w:p w:rsidR="00000000" w:rsidDel="00000000" w:rsidP="00000000" w:rsidRDefault="00000000" w:rsidRPr="00000000" w14:paraId="0000018D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TABLE  VII   :  Calibration before/after temperature scaling.</w:t>
      </w:r>
    </w:p>
    <w:p w:rsidR="00000000" w:rsidDel="00000000" w:rsidP="00000000" w:rsidRDefault="00000000" w:rsidRPr="00000000" w14:paraId="0000018E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IX. DATA AUDIT AND ABLATION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4" w:line="220" w:lineRule="auto"/>
        <w:jc w:val="both"/>
        <w:rPr>
          <w:color w:val="ff0000"/>
        </w:rPr>
      </w:pPr>
      <w:sdt>
        <w:sdtPr>
          <w:id w:val="-211037140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ff0000"/>
              <w:rtl w:val="0"/>
            </w:rPr>
            <w:t xml:space="preserve">Because the best models plateau near F1-macro≈0.89–0.90, we verified this is not an artefact of label parsing or duplicate leakage (Table VIII): label parsing produces zero NaN failures, and de-duplication removes a near-identical share of positives (0.4%) and negatives (0.6%), leaving the class ratio essentially unchanged (33.33%→33.38%); this rules out leakage/duplication as the cause, suggesting the ceiling is more likely related to genuine task difficulty and annotation-boundary ambiguity than to an obvious pipeline defect, though label noise, domain shift, and model-capacity limits cannot be fully excluded.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4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1180"/>
        <w:gridCol w:w="1520"/>
        <w:tblGridChange w:id="0">
          <w:tblGrid>
            <w:gridCol w:w="2160"/>
            <w:gridCol w:w="1180"/>
            <w:gridCol w:w="1520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 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Raw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30,000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Parsed labels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30,000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33.33%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After NA drop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30,000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33.33%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After de-dup.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29,836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33.38%</w:t>
            </w:r>
          </w:p>
        </w:tc>
      </w:tr>
    </w:tbl>
    <w:p w:rsidR="00000000" w:rsidDel="00000000" w:rsidP="00000000" w:rsidRDefault="00000000" w:rsidRPr="00000000" w14:paraId="0000019F">
      <w:pPr>
        <w:spacing w:after="120" w:before="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TABLE VIII    :  Data-cleaning funnel (label audit).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5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Holding the n-gram range fixed, Table </w:t>
      </w:r>
      <w:r w:rsidDel="00000000" w:rsidR="00000000" w:rsidRPr="00000000">
        <w:rPr>
          <w:rtl w:val="0"/>
        </w:rPr>
        <w:t xml:space="preserve">IX</w:t>
      </w:r>
      <w:r w:rsidDel="00000000" w:rsidR="00000000" w:rsidRPr="00000000">
        <w:rPr>
          <w:sz w:val="20"/>
          <w:szCs w:val="20"/>
          <w:rtl w:val="0"/>
        </w:rPr>
        <w:t xml:space="preserve"> isolates IDF re-weighting against raw bag-of-words counts: TF-IDF improves LogReg/LinearSVM by 1.3–1.5 F1-macro points, while count-based Naive Bayes/XGBoost are marginally better with raw counts, consistent with Naive Bayes' multinomial assumption and tree models' insensitivity to feature scaling.</w:t>
      </w:r>
      <w:r w:rsidDel="00000000" w:rsidR="00000000" w:rsidRPr="00000000">
        <w:rPr>
          <w:rtl w:val="0"/>
        </w:rPr>
      </w:r>
    </w:p>
    <w:tbl>
      <w:tblPr>
        <w:tblStyle w:val="Table9"/>
        <w:tblW w:w="4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0"/>
        <w:gridCol w:w="1040"/>
        <w:gridCol w:w="1100"/>
        <w:gridCol w:w="1240"/>
        <w:tblGridChange w:id="0">
          <w:tblGrid>
            <w:gridCol w:w="1480"/>
            <w:gridCol w:w="1040"/>
            <w:gridCol w:w="1100"/>
            <w:gridCol w:w="1240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F1@0.5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F1@tuned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LogReg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0.8852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0.8829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LinearSVM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TF-IDF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0.8781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0.8739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NaiveBayes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BoW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0.8132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0.8448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XGBoost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BoW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0.8856</w:t>
            </w:r>
          </w:p>
        </w:tc>
        <w:tc>
          <w:tcPr>
            <w:tcMar>
              <w:top w:w="20.0" w:type="dxa"/>
              <w:left w:w="40.0" w:type="dxa"/>
              <w:bottom w:w="20.0" w:type="dxa"/>
              <w:right w:w="4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0.8852</w:t>
            </w:r>
          </w:p>
        </w:tc>
      </w:tr>
    </w:tbl>
    <w:p w:rsidR="00000000" w:rsidDel="00000000" w:rsidP="00000000" w:rsidRDefault="00000000" w:rsidRPr="00000000" w14:paraId="000001B5">
      <w:pPr>
        <w:spacing w:after="120" w:before="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TABLE IX   :  Bag-of-words vs. TF-IDF at tuned decision threshold (selected rows).</w:t>
      </w:r>
    </w:p>
    <w:p w:rsidR="00000000" w:rsidDel="00000000" w:rsidP="00000000" w:rsidRDefault="00000000" w:rsidRPr="00000000" w14:paraId="000001B6">
      <w:pPr>
        <w:spacing w:after="120" w:line="250" w:lineRule="auto"/>
        <w:jc w:val="both"/>
        <w:rPr>
          <w:sz w:val="20"/>
          <w:szCs w:val="20"/>
        </w:rPr>
      </w:pPr>
      <w:sdt>
        <w:sdtPr>
          <w:id w:val="-163490174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Threshold tuning on validation data benefits Naive Bayes most (+0.019 avg. F1-macro) but leaves XGBoost and logistic regression essentially unchanged (≈−0.001), indicating 0.5 is already near-optimal for the strongest models but a cheap lever for weaker calibrated classifiers. A one-hot category feature changes LogReg's F1-macro by only −0.0012 topical signal is already implicit in the TF-IDF vocabulary. Re-training both transformers with longer context (128 tokens, 5 epochs, lower LR) did not improve on the original shorter configuration (BanglaELECTRA 0.8764/0.8799-tuned vs. 0.8927 originally; BanglaBERT 0.8744 vs. 0.8814), consistent with the corpus's short median post length (9 words); we therefore keep the shorter, cheaper transformer configuration as reported in Table III.</w:t>
          </w:r>
        </w:sdtContent>
      </w:sdt>
    </w:p>
    <w:p w:rsidR="00000000" w:rsidDel="00000000" w:rsidP="00000000" w:rsidRDefault="00000000" w:rsidRPr="00000000" w14:paraId="000001B7">
      <w:pPr>
        <w:spacing w:after="32" w:before="64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X. GENERALIZATION TO A SECOND CORPUS (BD-SHS)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 test the single-corpus limitation (Sec. XI), we re-run the complete comparable protocol on BD-SHS [4] using 16 of 17 main-corpus architectures (all Tracks A–E except the category variant, which BD-SHS's metadata lacks), identically cleaned/split/scored, on a second, independent Bengali hate-speech corpus (50,281 comments; 50,264 after cleaning; 24,149 hate-speech/48.0%, near-balanced vs. the main corpus's 33.4%; split 35,184/7,540/7,540) — a full replication, not transfer learning.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stacked ensemble again wins (F1-macro=0.9197, Acc=0.9198, MCC=0.839, 95% CI [0.9133,0.9260]), ahead of BanglaELECTRA (0.9168) and TF-IDF+XGBoost (0.9038); Table X gives the top/bottom models (full 16-model table in the repository). Absolute scores run 2–3 points higher than on the main corpus, plausibly from BD-SHS's larger training set and balanced labels rather than an easier task.</w:t>
      </w:r>
    </w:p>
    <w:p w:rsidR="00000000" w:rsidDel="00000000" w:rsidP="00000000" w:rsidRDefault="00000000" w:rsidRPr="00000000" w14:paraId="000001BA">
      <w:pPr>
        <w:spacing w:after="43" w:before="10" w:lineRule="auto"/>
        <w:jc w:val="center"/>
        <w:rPr>
          <w:color w:val="ff0000"/>
          <w:sz w:val="16"/>
          <w:szCs w:val="16"/>
        </w:rPr>
      </w:pPr>
      <w:r w:rsidDel="00000000" w:rsidR="00000000" w:rsidRPr="00000000">
        <w:rPr>
          <w:color w:val="ff0000"/>
          <w:sz w:val="16"/>
          <w:szCs w:val="16"/>
          <w:rtl w:val="0"/>
        </w:rPr>
        <w:t xml:space="preserve">TABLE X : BD-SHS RESULTS, TEST SET n=7,540 (TOP/BOTTOM; FULL TABLE IN REPO)</w:t>
      </w:r>
    </w:p>
    <w:tbl>
      <w:tblPr>
        <w:tblStyle w:val="Table10"/>
        <w:tblW w:w="4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100"/>
        <w:gridCol w:w="950"/>
        <w:gridCol w:w="950"/>
        <w:tblGridChange w:id="0">
          <w:tblGrid>
            <w:gridCol w:w="1900"/>
            <w:gridCol w:w="1100"/>
            <w:gridCol w:w="950"/>
            <w:gridCol w:w="950"/>
          </w:tblGrid>
        </w:tblGridChange>
      </w:tblGrid>
      <w:tr>
        <w:trPr>
          <w:cantSplit w:val="0"/>
          <w:tblHeader w:val="1"/>
        </w:trPr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5"/>
                <w:szCs w:val="15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5"/>
                <w:szCs w:val="15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5"/>
                <w:szCs w:val="15"/>
                <w:rtl w:val="0"/>
              </w:rPr>
              <w:t xml:space="preserve">F1-macro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5"/>
                <w:szCs w:val="15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Ensemble (stacking)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Ensemble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0.9197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0.9734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BanglaELECTRA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Transformer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0.9168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0.9734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TF-IDF+XGBoost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Classical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0.9038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0.9611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TextCNN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Deep NN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0.8876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0.9523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FastText+LogReg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Static Emb.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0.8289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0.9063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GloVe+LogReg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Static Emb.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0.7003</w:t>
            </w:r>
          </w:p>
        </w:tc>
        <w:tc>
          <w:tcPr>
            <w:tcMar>
              <w:top w:w="15.0" w:type="dxa"/>
              <w:left w:w="30.0" w:type="dxa"/>
              <w:bottom w:w="15.0" w:type="dxa"/>
              <w:right w:w="3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>
                <w:color w:val="ff0000"/>
                <w:sz w:val="15"/>
                <w:szCs w:val="15"/>
              </w:rPr>
            </w:pPr>
            <w:r w:rsidDel="00000000" w:rsidR="00000000" w:rsidRPr="00000000">
              <w:rPr>
                <w:color w:val="ff0000"/>
                <w:sz w:val="15"/>
                <w:szCs w:val="15"/>
                <w:rtl w:val="0"/>
              </w:rPr>
              <w:t xml:space="preserve">0.7709</w:t>
            </w:r>
          </w:p>
        </w:tc>
      </w:tr>
    </w:tbl>
    <w:p w:rsidR="00000000" w:rsidDel="00000000" w:rsidP="00000000" w:rsidRDefault="00000000" w:rsidRPr="00000000" w14:paraId="000001D7">
      <w:pPr>
        <w:spacing w:after="28" w:before="21" w:lineRule="auto"/>
        <w:jc w:val="both"/>
        <w:rPr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/>
      </w:pPr>
      <w:sdt>
        <w:sdtPr>
          <w:id w:val="140314216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More important than absolute scores is whether the same architectures win in the same order. Ranking all 16 shared models by F1-macro on each corpus gives Spearman ρ=0.988 (p&lt;0.001; Fig. 11): the family ordering — ensembles &gt; fusion &gt; transformers &gt; classical TF-IDF &gt; deep nets &gt; static embeddings, GloVe weakest — reproduces almost exactly, with only minor local swaps. This is, to our knowledge, among the first rank-stability checks across two independent Bengali hate-speech corpora at this scale, directly answering the single-corpus limitation: the comparative ranking is reproducible across corpora, even though absolute performance does not transfer one-to-one and cross-domain (non-Bengali, non-hate-speech) generalisation remains untested. Sec. VIII's uncertainty/calibration findings replicate too: misclassified examples carry ~2.9× the entropy of correct ones, and temperature scaling (T=1.28) cuts ECE by 62% (0.0326→0.0125) — an even larger gain than on the main corpus.</w:t>
          </w:r>
        </w:sdtContent>
      </w:sdt>
    </w:p>
    <w:p w:rsidR="00000000" w:rsidDel="00000000" w:rsidP="00000000" w:rsidRDefault="00000000" w:rsidRPr="00000000" w14:paraId="000001D9">
      <w:pPr>
        <w:spacing w:after="10" w:before="21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88858" cy="75601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858" cy="756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43" w:before="10" w:lineRule="auto"/>
        <w:jc w:val="center"/>
        <w:rPr>
          <w:color w:val="ff0000"/>
          <w:sz w:val="16"/>
          <w:szCs w:val="16"/>
        </w:rPr>
      </w:pPr>
      <w:r w:rsidDel="00000000" w:rsidR="00000000" w:rsidRPr="00000000">
        <w:rPr>
          <w:color w:val="ff0000"/>
          <w:sz w:val="16"/>
          <w:szCs w:val="16"/>
          <w:rtl w:val="0"/>
        </w:rPr>
        <w:t xml:space="preserve">Fig. 11. Model rank, Romim corpus vs. BD-SHS; Spearman ρ=0.988 (p&lt;0.001).</w:t>
      </w:r>
    </w:p>
    <w:p w:rsidR="00000000" w:rsidDel="00000000" w:rsidP="00000000" w:rsidRDefault="00000000" w:rsidRPr="00000000" w14:paraId="000001DB">
      <w:pPr>
        <w:spacing w:after="120" w:line="25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80" w:before="1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X.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="250" w:lineRule="auto"/>
        <w:ind w:left="720" w:firstLine="0"/>
        <w:rPr/>
      </w:pPr>
      <w:r w:rsidDel="00000000" w:rsidR="00000000" w:rsidRPr="00000000">
        <w:rPr>
          <w:rtl w:val="0"/>
        </w:rPr>
        <w:t xml:space="preserve">• Single corpus, single variety. Findings rest on one public Bengali corpus [1]; generalisation to Banglish, dialects, or other corpora (e.g., BD-SHS [4]) is untested.</w:t>
        <w:br w:type="textWrapping"/>
        <w:t xml:space="preserve"> • Illustrative explainability. LIME, SHAP, and attention outputs are case studies, not a human-validated faithfulness evaluation.</w:t>
      </w:r>
    </w:p>
    <w:p w:rsidR="00000000" w:rsidDel="00000000" w:rsidP="00000000" w:rsidRDefault="00000000" w:rsidRPr="00000000" w14:paraId="000001DE">
      <w:pPr>
        <w:spacing w:after="43" w:before="86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XII. CONCLUSION AND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4" w:line="2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Beyond the benchmark, character-level n-grams remain competitive against fine-tuned transformers, and uncertainty-based selective prediction recovers substantial held-out error at 80% coverage – both actionable for deployed Bengali moderation. This paper presented a controlled, multi-track comparison of Bengali cyberbullying/hate-speech detection spanning classical lexical models, static embeddings, deep networks, fine-tuned transformers, and fusion/ensembling under one protocol with eleven metrics, bootstrap CIs, and McNemar tests. A stacked ensemble achieved the best performance (F1-macro=0.895, accuracy=0.907), narrowly ahead of BanglaELECTRA (0.893) – though not significantly so, meaning a single fine-tuned transformer remains a strong, cheaper deployment choice – and a modest, statistically distinguishable improvement over TF-IDF+XGBoost (0.883). Explainability and uncertainty analyses show character-level n-grams remain a strong complementary lexical signal alongside transformer-based representations, errors concentrate on high-entropy ambiguous posts, and temperature scaling improves calibration at no accuracy cost. A data audit confirmed the performance ceiling reflects task difficulty, not pipeline artefacts. A full replication on a second, independent corpus (BD-SHS [4], Sec. X) confirms the model ranking is not a single-corpus artefact (Spearman ρ=0.988), and both the uncertainty-error link and the calibration benefit of temperature scaling reproduce there too. Future work includes multi-label corpora [5], code-mixed Banglish evaluation, LoRA/QLoRA fine-tuning of larger LLMs, and the human-rated faithfulness study of Sec. XI.</w:t>
      </w:r>
    </w:p>
    <w:p w:rsidR="00000000" w:rsidDel="00000000" w:rsidP="00000000" w:rsidRDefault="00000000" w:rsidRPr="00000000" w14:paraId="000001E0">
      <w:pPr>
        <w:spacing w:after="32" w:before="64" w:lineRule="auto"/>
        <w:rPr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Code and Data Availability: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Dataset from Romim et al. [1]; code, model configs, and figures released at [INSERT REPOSITORY URL].</w:t>
      </w:r>
    </w:p>
    <w:p w:rsidR="00000000" w:rsidDel="00000000" w:rsidP="00000000" w:rsidRDefault="00000000" w:rsidRPr="00000000" w14:paraId="000001E1">
      <w:pPr>
        <w:spacing w:after="32" w:before="64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Acknowledgements: The authors thank their supervisors and the Dept. of CSE, UGV, for guidance and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40" w:lineRule="auto"/>
        <w:jc w:val="both"/>
        <w:rPr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[1] N. Romim, M. Ahmed, H. Talukder, and M. S. Islam, “Hate speech detection in the Bengali language: A dataset and its baseline evaluation,” in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Proceedings of the International Joint Conference on Advances in Computational Intelligence (IJCACI 2020)</w:t>
      </w: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, Springer, Singapore, 2021, pp. 457–468</w:t>
      </w:r>
    </w:p>
    <w:p w:rsidR="00000000" w:rsidDel="00000000" w:rsidP="00000000" w:rsidRDefault="00000000" w:rsidRPr="00000000" w14:paraId="000001E4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[2] M. R. Karim et al., "Classification benchmarks for under-resourced Bengali language based on multichannel convolutional-LSTM network," IEEE DSAA, 2020.</w:t>
      </w:r>
    </w:p>
    <w:p w:rsidR="00000000" w:rsidDel="00000000" w:rsidP="00000000" w:rsidRDefault="00000000" w:rsidRPr="00000000" w14:paraId="000001E5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[3] M. R. Karim et al., "DeepHateExplainer: Explainable hate speech detection in under-resourced Bengali," arXiv:2012.14939, 2021.</w:t>
      </w:r>
    </w:p>
    <w:p w:rsidR="00000000" w:rsidDel="00000000" w:rsidP="00000000" w:rsidRDefault="00000000" w:rsidRPr="00000000" w14:paraId="000001E6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[4] N. Romim et al., "BD-SHS: A benchmark dataset for learning to detect Bengali hate speech," LREC, 2022.</w:t>
      </w:r>
    </w:p>
    <w:p w:rsidR="00000000" w:rsidDel="00000000" w:rsidP="00000000" w:rsidRDefault="00000000" w:rsidRPr="00000000" w14:paraId="000001E7">
      <w:pPr>
        <w:spacing w:after="40" w:lineRule="auto"/>
        <w:jc w:val="both"/>
        <w:rPr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[5] T. Azhar, T. Mahmud, M. A. Hasan, M. N. Uddin, and S.-B. Park, “HateBertBN: a hybrid transformer based model for Bangla hate speech detection across various social contexts,”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Discover Computing</w:t>
      </w: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, vol. 29, art. no. 15, 2026</w:t>
      </w:r>
    </w:p>
    <w:p w:rsidR="00000000" w:rsidDel="00000000" w:rsidP="00000000" w:rsidRDefault="00000000" w:rsidRPr="00000000" w14:paraId="000001E8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[6] Y. Kim, "Convolutional neural networks for sentence classification," EMNLP, 2014.</w:t>
      </w:r>
    </w:p>
    <w:p w:rsidR="00000000" w:rsidDel="00000000" w:rsidP="00000000" w:rsidRDefault="00000000" w:rsidRPr="00000000" w14:paraId="000001E9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[7] D. Bahdanau, K. Cho, Y. Bengio, "Neural machine translation by jointly learning to align and translate," ICLR, 2015.</w:t>
      </w:r>
    </w:p>
    <w:p w:rsidR="00000000" w:rsidDel="00000000" w:rsidP="00000000" w:rsidRDefault="00000000" w:rsidRPr="00000000" w14:paraId="000001EA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[8] J. Devlin et al., "BERT: Pre-training of deep bidirectional transformers," NAACL-HLT, 2019.</w:t>
      </w:r>
    </w:p>
    <w:p w:rsidR="00000000" w:rsidDel="00000000" w:rsidP="00000000" w:rsidRDefault="00000000" w:rsidRPr="00000000" w14:paraId="000001EB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[9] V. Sanh et al., "DistilBERT," arXiv:1910.01108, 2019.</w:t>
      </w:r>
    </w:p>
    <w:p w:rsidR="00000000" w:rsidDel="00000000" w:rsidP="00000000" w:rsidRDefault="00000000" w:rsidRPr="00000000" w14:paraId="000001EC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[10] Y. Liu et al., "RoBERTa," arXiv:1907.11692, 2019.</w:t>
      </w:r>
    </w:p>
    <w:p w:rsidR="00000000" w:rsidDel="00000000" w:rsidP="00000000" w:rsidRDefault="00000000" w:rsidRPr="00000000" w14:paraId="000001ED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[11] K. Clark et al., "ELECTRA," ICLR, 2020.</w:t>
      </w:r>
    </w:p>
    <w:p w:rsidR="00000000" w:rsidDel="00000000" w:rsidP="00000000" w:rsidRDefault="00000000" w:rsidRPr="00000000" w14:paraId="000001EE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[12] A. Bhattacharjee et al., "BanglaBERT," Findings of NAACL, 2022.</w:t>
      </w:r>
    </w:p>
    <w:p w:rsidR="00000000" w:rsidDel="00000000" w:rsidP="00000000" w:rsidRDefault="00000000" w:rsidRPr="00000000" w14:paraId="000001EF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[13] S. M. Lundberg, S.-I. Lee, "A unified approach to interpreting model predictions," NeurIPS, 2017.</w:t>
      </w:r>
    </w:p>
    <w:p w:rsidR="00000000" w:rsidDel="00000000" w:rsidP="00000000" w:rsidRDefault="00000000" w:rsidRPr="00000000" w14:paraId="000001F0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[14] M. T. Ribeiro et al., "Why should I trust you?" ACM SIGKDD, 2016.</w:t>
      </w:r>
    </w:p>
    <w:p w:rsidR="00000000" w:rsidDel="00000000" w:rsidP="00000000" w:rsidRDefault="00000000" w:rsidRPr="00000000" w14:paraId="000001F1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[15] Y. Gal, Z. Ghahramani, "Dropout as a Bayesian approximation," ICML, 2016.</w:t>
      </w:r>
    </w:p>
    <w:p w:rsidR="00000000" w:rsidDel="00000000" w:rsidP="00000000" w:rsidRDefault="00000000" w:rsidRPr="00000000" w14:paraId="000001F2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[16] B. Lakshminarayanan et al., "Simple and scalable predictive uncertainty estimation using deep ensembles," NeurIPS, 2017.</w:t>
      </w:r>
    </w:p>
    <w:p w:rsidR="00000000" w:rsidDel="00000000" w:rsidP="00000000" w:rsidRDefault="00000000" w:rsidRPr="00000000" w14:paraId="000001F3">
      <w:pPr>
        <w:spacing w:after="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[17] C. Guo et al., "On calibration of modern neural networks," ICML, 2017.</w:t>
      </w:r>
    </w:p>
    <w:sectPr>
      <w:type w:val="continuous"/>
      <w:pgSz w:h="15840" w:w="12240" w:orient="portrait"/>
      <w:pgMar w:bottom="1080" w:top="1080" w:left="907.2" w:right="907.2" w:header="708" w:footer="708"/>
      <w:cols w:equalWidth="0" w:num="2">
        <w:col w:space="360" w:w="5032.799999999999"/>
        <w:col w:space="0" w:w="5032.7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xI3VBMqdNPuAv4DXMUFexXWCkQ==">CgMxLjAaEgoBMBINCgsIB0IHEgVDYXJkbxoSCgExEg0KCwgHQgcSBUNhcmRvGhIKATISDQoLCAdCBxIFQ2FyZG8aFAoBMxIPCg0IB0IJEgdHdW5nc3VoGhQKATQSDwoNCAdCCRIHR3VuZ3N1aBoSCgE1Eg0KCwgHQgcSBUNhcmRvOAByITFCU0k5dEh1alFnOFozbXdPdkkxaVBVNnVwcTRkZkczcQ==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2026-08-29T15:22:34.575Z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