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Predicting Student Depression Using</w:t>
        <w:br/>
        <w:t>Semi-Supervised Machine Learning</w:t>
      </w:r>
    </w:p>
    <w:p/>
    <w:p>
      <w:pPr>
        <w:jc w:val="center"/>
      </w:pPr>
      <w:r>
        <w:rPr>
          <w:sz w:val="22"/>
        </w:rPr>
        <w:t>Muhammad Asif Khan</w:t>
        <w:br/>
      </w:r>
      <w:r>
        <w:rPr>
          <w:sz w:val="22"/>
        </w:rPr>
        <w:t>Machine Learning</w:t>
        <w:br/>
      </w:r>
      <w:r>
        <w:rPr>
          <w:sz w:val="22"/>
        </w:rPr>
        <w:t>June 2026</w:t>
        <w:br/>
      </w:r>
    </w:p>
    <w:p>
      <w:r>
        <w:br w:type="page"/>
      </w:r>
    </w:p>
    <w:p>
      <w:pPr>
        <w:pStyle w:val="Heading1"/>
      </w:pPr>
      <w:r>
        <w:rPr>
          <w:color w:val="1F497D"/>
        </w:rPr>
        <w:t>1. Introduction</w:t>
      </w:r>
    </w:p>
    <w:p>
      <w:pPr>
        <w:spacing w:after="100"/>
      </w:pPr>
      <w:r>
        <w:rPr>
          <w:sz w:val="22"/>
        </w:rPr>
        <w:t>Depression is one of the most prevalent mental health conditions among university students, affecting an estimated 30-40% of this population globally (Ibrahim et al., 2013) and being a leading cause of dropout. Early identification is important, but the core obstacle is label scarcity: a verified depression diagnosis requires a clinician, whereas lifestyle records such as sleep hours, study load, and stress levels are straightforward to collect at scale. This leaves a dataset where labeled examples are rare and unlabeled examples are abundant, exactly the setting where semi-supervised learning (SSL) is most valuable.</w:t>
      </w:r>
    </w:p>
    <w:p>
      <w:pPr>
        <w:spacing w:after="100"/>
      </w:pPr>
      <w:r>
        <w:rPr>
          <w:sz w:val="22"/>
        </w:rPr>
        <w:t>This project predicts student depression as a binary classification problem and asks whether a self-training SSL pipeline operating on only 10% labeled data can outperform a fully supervised baseline trained on the same labeled subset. Two secondary goals are model interpretability through SHAP (SHapley Additive exPlanations) and a gender-fairness audit. The work extends the experimental protocol of Afzaal (2023) by adding SMOTE-based class imbalance handling, individual-level SHAP explanations, and a structured gender-stratified evaluation. The full pipeline follows the CRISP-DM process model (Wirth &amp; Hipp, 2000).</w:t>
      </w:r>
    </w:p>
    <w:p>
      <w:pPr>
        <w:pStyle w:val="Heading1"/>
      </w:pPr>
      <w:r>
        <w:rPr>
          <w:color w:val="1F497D"/>
        </w:rPr>
        <w:t>2. Methodology (CRISP-DM)</w:t>
      </w:r>
    </w:p>
    <w:p>
      <w:pPr>
        <w:pStyle w:val="Heading2"/>
      </w:pPr>
      <w:r>
        <w:rPr>
          <w:color w:val="1F497D"/>
        </w:rPr>
        <w:t>2.1  Business Understanding</w:t>
      </w:r>
    </w:p>
    <w:p>
      <w:pPr>
        <w:spacing w:after="100"/>
      </w:pPr>
      <w:r>
        <w:rPr>
          <w:sz w:val="22"/>
        </w:rPr>
        <w:t>The objective is a screening tool that flags at-risk students from routinely collected lifestyle data without requiring clinical annotation of every record. Success is defined as matching or exceeding the F1-Score of a supervised baseline on a held-out test set, while also providing per-prediction explanations counsellors can act on and confirming equitable performance across genders.</w:t>
      </w:r>
    </w:p>
    <w:p>
      <w:pPr>
        <w:pStyle w:val="Heading2"/>
      </w:pPr>
      <w:r>
        <w:rPr>
          <w:color w:val="1F497D"/>
        </w:rPr>
        <w:t>2.2  Data Understanding</w:t>
      </w:r>
    </w:p>
    <w:p>
      <w:pPr>
        <w:spacing w:after="100"/>
      </w:pPr>
      <w:r>
        <w:rPr>
          <w:sz w:val="22"/>
        </w:rPr>
        <w:t>The study uses the Student Lifestyle Dataset (100,000 records, Kaggle), a synthetically generated tabular dataset. Exploratory analysis found no missing values, no duplicates, and no constant columns. The class distribution is moderately imbalanced: approximately 35% depressed and 65% not depressed. Table 1 describes all features.</w:t>
      </w:r>
    </w:p>
    <w:tbl>
      <w:tblPr>
        <w:tblStyle w:val="TableGrid"/>
        <w:tblW w:type="auto" w:w="0"/>
        <w:jc w:val="center"/>
        <w:tblLook w:firstColumn="1" w:firstRow="1" w:lastColumn="0" w:lastRow="0" w:noHBand="0" w:noVBand="1" w:val="04A0"/>
      </w:tblPr>
      <w:tblGrid>
        <w:gridCol w:w="2976"/>
        <w:gridCol w:w="2976"/>
        <w:gridCol w:w="2976"/>
      </w:tblGrid>
      <w:tr>
        <w:tc>
          <w:tcPr>
            <w:tcW w:type="dxa" w:w="2976"/>
            <w:shd w:val="clear" w:color="auto" w:fill="D6E4F0"/>
          </w:tcPr>
          <w:p>
            <w:pPr>
              <w:jc w:val="center"/>
            </w:pPr>
            <w:r>
              <w:rPr>
                <w:b/>
                <w:sz w:val="18"/>
              </w:rPr>
              <w:t>Feature</w:t>
            </w:r>
          </w:p>
        </w:tc>
        <w:tc>
          <w:tcPr>
            <w:tcW w:type="dxa" w:w="2976"/>
            <w:shd w:val="clear" w:color="auto" w:fill="D6E4F0"/>
          </w:tcPr>
          <w:p>
            <w:pPr>
              <w:jc w:val="center"/>
            </w:pPr>
            <w:r>
              <w:rPr>
                <w:b/>
                <w:sz w:val="18"/>
              </w:rPr>
              <w:t>Type</w:t>
            </w:r>
          </w:p>
        </w:tc>
        <w:tc>
          <w:tcPr>
            <w:tcW w:type="dxa" w:w="2976"/>
            <w:shd w:val="clear" w:color="auto" w:fill="D6E4F0"/>
          </w:tcPr>
          <w:p>
            <w:pPr>
              <w:jc w:val="center"/>
            </w:pPr>
            <w:r>
              <w:rPr>
                <w:b/>
                <w:sz w:val="18"/>
              </w:rPr>
              <w:t>Description</w:t>
            </w:r>
          </w:p>
        </w:tc>
      </w:tr>
      <w:tr>
        <w:tc>
          <w:tcPr>
            <w:tcW w:type="dxa" w:w="2976"/>
          </w:tcPr>
          <w:p>
            <w:r>
              <w:rPr>
                <w:sz w:val="18"/>
              </w:rPr>
              <w:t>Student_ID</w:t>
            </w:r>
          </w:p>
        </w:tc>
        <w:tc>
          <w:tcPr>
            <w:tcW w:type="dxa" w:w="2976"/>
          </w:tcPr>
          <w:p>
            <w:r>
              <w:rPr>
                <w:sz w:val="18"/>
              </w:rPr>
              <w:t>Nominal</w:t>
            </w:r>
          </w:p>
        </w:tc>
        <w:tc>
          <w:tcPr>
            <w:tcW w:type="dxa" w:w="2976"/>
          </w:tcPr>
          <w:p>
            <w:r>
              <w:rPr>
                <w:sz w:val="18"/>
              </w:rPr>
              <w:t>Row identifier — excluded from modelling</w:t>
            </w:r>
          </w:p>
        </w:tc>
      </w:tr>
      <w:tr>
        <w:tc>
          <w:tcPr>
            <w:tcW w:type="dxa" w:w="2976"/>
          </w:tcPr>
          <w:p>
            <w:r>
              <w:rPr>
                <w:sz w:val="18"/>
              </w:rPr>
              <w:t>Age</w:t>
            </w:r>
          </w:p>
        </w:tc>
        <w:tc>
          <w:tcPr>
            <w:tcW w:type="dxa" w:w="2976"/>
          </w:tcPr>
          <w:p>
            <w:r>
              <w:rPr>
                <w:sz w:val="18"/>
              </w:rPr>
              <w:t>Continuous</w:t>
            </w:r>
          </w:p>
        </w:tc>
        <w:tc>
          <w:tcPr>
            <w:tcW w:type="dxa" w:w="2976"/>
          </w:tcPr>
          <w:p>
            <w:r>
              <w:rPr>
                <w:sz w:val="18"/>
              </w:rPr>
              <w:t>Age in years</w:t>
            </w:r>
          </w:p>
        </w:tc>
      </w:tr>
      <w:tr>
        <w:tc>
          <w:tcPr>
            <w:tcW w:type="dxa" w:w="2976"/>
          </w:tcPr>
          <w:p>
            <w:r>
              <w:rPr>
                <w:sz w:val="18"/>
              </w:rPr>
              <w:t>Gender</w:t>
            </w:r>
          </w:p>
        </w:tc>
        <w:tc>
          <w:tcPr>
            <w:tcW w:type="dxa" w:w="2976"/>
          </w:tcPr>
          <w:p>
            <w:r>
              <w:rPr>
                <w:sz w:val="18"/>
              </w:rPr>
              <w:t>Binary</w:t>
            </w:r>
          </w:p>
        </w:tc>
        <w:tc>
          <w:tcPr>
            <w:tcW w:type="dxa" w:w="2976"/>
          </w:tcPr>
          <w:p>
            <w:r>
              <w:rPr>
                <w:sz w:val="18"/>
              </w:rPr>
              <w:t>Male / Female</w:t>
            </w:r>
          </w:p>
        </w:tc>
      </w:tr>
      <w:tr>
        <w:tc>
          <w:tcPr>
            <w:tcW w:type="dxa" w:w="2976"/>
          </w:tcPr>
          <w:p>
            <w:r>
              <w:rPr>
                <w:sz w:val="18"/>
              </w:rPr>
              <w:t>Department</w:t>
            </w:r>
          </w:p>
        </w:tc>
        <w:tc>
          <w:tcPr>
            <w:tcW w:type="dxa" w:w="2976"/>
          </w:tcPr>
          <w:p>
            <w:r>
              <w:rPr>
                <w:sz w:val="18"/>
              </w:rPr>
              <w:t>Categorical</w:t>
            </w:r>
          </w:p>
        </w:tc>
        <w:tc>
          <w:tcPr>
            <w:tcW w:type="dxa" w:w="2976"/>
          </w:tcPr>
          <w:p>
            <w:r>
              <w:rPr>
                <w:sz w:val="18"/>
              </w:rPr>
              <w:t>Academic department (8 categories)</w:t>
            </w:r>
          </w:p>
        </w:tc>
      </w:tr>
      <w:tr>
        <w:tc>
          <w:tcPr>
            <w:tcW w:type="dxa" w:w="2976"/>
          </w:tcPr>
          <w:p>
            <w:r>
              <w:rPr>
                <w:sz w:val="18"/>
              </w:rPr>
              <w:t>CGPA</w:t>
            </w:r>
          </w:p>
        </w:tc>
        <w:tc>
          <w:tcPr>
            <w:tcW w:type="dxa" w:w="2976"/>
          </w:tcPr>
          <w:p>
            <w:r>
              <w:rPr>
                <w:sz w:val="18"/>
              </w:rPr>
              <w:t>Continuous</w:t>
            </w:r>
          </w:p>
        </w:tc>
        <w:tc>
          <w:tcPr>
            <w:tcW w:type="dxa" w:w="2976"/>
          </w:tcPr>
          <w:p>
            <w:r>
              <w:rPr>
                <w:sz w:val="18"/>
              </w:rPr>
              <w:t>Cumulative GPA (0-4 scale)</w:t>
            </w:r>
          </w:p>
        </w:tc>
      </w:tr>
      <w:tr>
        <w:tc>
          <w:tcPr>
            <w:tcW w:type="dxa" w:w="2976"/>
          </w:tcPr>
          <w:p>
            <w:r>
              <w:rPr>
                <w:sz w:val="18"/>
              </w:rPr>
              <w:t>Study_Hours_Per_Day</w:t>
            </w:r>
          </w:p>
        </w:tc>
        <w:tc>
          <w:tcPr>
            <w:tcW w:type="dxa" w:w="2976"/>
          </w:tcPr>
          <w:p>
            <w:r>
              <w:rPr>
                <w:sz w:val="18"/>
              </w:rPr>
              <w:t>Continuous</w:t>
            </w:r>
          </w:p>
        </w:tc>
        <w:tc>
          <w:tcPr>
            <w:tcW w:type="dxa" w:w="2976"/>
          </w:tcPr>
          <w:p>
            <w:r>
              <w:rPr>
                <w:sz w:val="18"/>
              </w:rPr>
              <w:t>Daily study hours</w:t>
            </w:r>
          </w:p>
        </w:tc>
      </w:tr>
      <w:tr>
        <w:tc>
          <w:tcPr>
            <w:tcW w:type="dxa" w:w="2976"/>
          </w:tcPr>
          <w:p>
            <w:r>
              <w:rPr>
                <w:sz w:val="18"/>
              </w:rPr>
              <w:t>Sleep_Hours_Per_Day</w:t>
            </w:r>
          </w:p>
        </w:tc>
        <w:tc>
          <w:tcPr>
            <w:tcW w:type="dxa" w:w="2976"/>
          </w:tcPr>
          <w:p>
            <w:r>
              <w:rPr>
                <w:sz w:val="18"/>
              </w:rPr>
              <w:t>Continuous</w:t>
            </w:r>
          </w:p>
        </w:tc>
        <w:tc>
          <w:tcPr>
            <w:tcW w:type="dxa" w:w="2976"/>
          </w:tcPr>
          <w:p>
            <w:r>
              <w:rPr>
                <w:sz w:val="18"/>
              </w:rPr>
              <w:t>Daily sleep hours</w:t>
            </w:r>
          </w:p>
        </w:tc>
      </w:tr>
      <w:tr>
        <w:tc>
          <w:tcPr>
            <w:tcW w:type="dxa" w:w="2976"/>
          </w:tcPr>
          <w:p>
            <w:r>
              <w:rPr>
                <w:sz w:val="18"/>
              </w:rPr>
              <w:t>Social_Hours_Per_Day</w:t>
            </w:r>
          </w:p>
        </w:tc>
        <w:tc>
          <w:tcPr>
            <w:tcW w:type="dxa" w:w="2976"/>
          </w:tcPr>
          <w:p>
            <w:r>
              <w:rPr>
                <w:sz w:val="18"/>
              </w:rPr>
              <w:t>Continuous</w:t>
            </w:r>
          </w:p>
        </w:tc>
        <w:tc>
          <w:tcPr>
            <w:tcW w:type="dxa" w:w="2976"/>
          </w:tcPr>
          <w:p>
            <w:r>
              <w:rPr>
                <w:sz w:val="18"/>
              </w:rPr>
              <w:t>Daily social / leisure hours</w:t>
            </w:r>
          </w:p>
        </w:tc>
      </w:tr>
      <w:tr>
        <w:tc>
          <w:tcPr>
            <w:tcW w:type="dxa" w:w="2976"/>
          </w:tcPr>
          <w:p>
            <w:r>
              <w:rPr>
                <w:sz w:val="18"/>
              </w:rPr>
              <w:t>Physical_Activity_Hours_Per_Day</w:t>
            </w:r>
          </w:p>
        </w:tc>
        <w:tc>
          <w:tcPr>
            <w:tcW w:type="dxa" w:w="2976"/>
          </w:tcPr>
          <w:p>
            <w:r>
              <w:rPr>
                <w:sz w:val="18"/>
              </w:rPr>
              <w:t>Continuous</w:t>
            </w:r>
          </w:p>
        </w:tc>
        <w:tc>
          <w:tcPr>
            <w:tcW w:type="dxa" w:w="2976"/>
          </w:tcPr>
          <w:p>
            <w:r>
              <w:rPr>
                <w:sz w:val="18"/>
              </w:rPr>
              <w:t>Daily exercise hours</w:t>
            </w:r>
          </w:p>
        </w:tc>
      </w:tr>
      <w:tr>
        <w:tc>
          <w:tcPr>
            <w:tcW w:type="dxa" w:w="2976"/>
          </w:tcPr>
          <w:p>
            <w:r>
              <w:rPr>
                <w:sz w:val="18"/>
              </w:rPr>
              <w:t>Extracurricular_Activities</w:t>
            </w:r>
          </w:p>
        </w:tc>
        <w:tc>
          <w:tcPr>
            <w:tcW w:type="dxa" w:w="2976"/>
          </w:tcPr>
          <w:p>
            <w:r>
              <w:rPr>
                <w:sz w:val="18"/>
              </w:rPr>
              <w:t>Binary</w:t>
            </w:r>
          </w:p>
        </w:tc>
        <w:tc>
          <w:tcPr>
            <w:tcW w:type="dxa" w:w="2976"/>
          </w:tcPr>
          <w:p>
            <w:r>
              <w:rPr>
                <w:sz w:val="18"/>
              </w:rPr>
              <w:t>Participation: Yes / No</w:t>
            </w:r>
          </w:p>
        </w:tc>
      </w:tr>
      <w:tr>
        <w:tc>
          <w:tcPr>
            <w:tcW w:type="dxa" w:w="2976"/>
          </w:tcPr>
          <w:p>
            <w:r>
              <w:rPr>
                <w:sz w:val="18"/>
              </w:rPr>
              <w:t>Stress_Level</w:t>
            </w:r>
          </w:p>
        </w:tc>
        <w:tc>
          <w:tcPr>
            <w:tcW w:type="dxa" w:w="2976"/>
          </w:tcPr>
          <w:p>
            <w:r>
              <w:rPr>
                <w:sz w:val="18"/>
              </w:rPr>
              <w:t>Ordinal</w:t>
            </w:r>
          </w:p>
        </w:tc>
        <w:tc>
          <w:tcPr>
            <w:tcW w:type="dxa" w:w="2976"/>
          </w:tcPr>
          <w:p>
            <w:r>
              <w:rPr>
                <w:sz w:val="18"/>
              </w:rPr>
              <w:t>Self-reported scale 1-10</w:t>
            </w:r>
          </w:p>
        </w:tc>
      </w:tr>
      <w:tr>
        <w:tc>
          <w:tcPr>
            <w:tcW w:type="dxa" w:w="2976"/>
          </w:tcPr>
          <w:p>
            <w:r>
              <w:rPr>
                <w:sz w:val="18"/>
              </w:rPr>
              <w:t>Depression</w:t>
            </w:r>
          </w:p>
        </w:tc>
        <w:tc>
          <w:tcPr>
            <w:tcW w:type="dxa" w:w="2976"/>
          </w:tcPr>
          <w:p>
            <w:r>
              <w:rPr>
                <w:sz w:val="18"/>
              </w:rPr>
              <w:t>Binary</w:t>
            </w:r>
          </w:p>
        </w:tc>
        <w:tc>
          <w:tcPr>
            <w:tcW w:type="dxa" w:w="2976"/>
          </w:tcPr>
          <w:p>
            <w:r>
              <w:rPr>
                <w:sz w:val="18"/>
              </w:rPr>
              <w:t>Target label: True / False</w:t>
            </w:r>
          </w:p>
        </w:tc>
      </w:tr>
    </w:tbl>
    <w:p/>
    <w:p>
      <w:pPr>
        <w:spacing w:before="0"/>
      </w:pPr>
      <w:r>
        <w:rPr>
          <w:i/>
          <w:sz w:val="18"/>
        </w:rPr>
        <w:t>Table 1. Dataset features and types.</w:t>
      </w:r>
    </w:p>
    <w:p>
      <w:pPr>
        <w:pStyle w:val="Heading2"/>
      </w:pPr>
      <w:r>
        <w:rPr>
          <w:color w:val="1F497D"/>
        </w:rPr>
        <w:t>2.3  Data Preparation</w:t>
      </w:r>
    </w:p>
    <w:p>
      <w:pPr>
        <w:spacing w:after="100"/>
      </w:pPr>
      <w:r>
        <w:rPr>
          <w:sz w:val="22"/>
        </w:rPr>
        <w:t>All transformations are fitted exclusively on the labeled training partition to prevent data leakage from the unlabeled pool or test set into the model.</w:t>
      </w:r>
    </w:p>
    <w:p>
      <w:pPr>
        <w:pStyle w:val="Heading3"/>
      </w:pPr>
      <w:r>
        <w:rPr>
          <w:color w:val="106B2E"/>
        </w:rPr>
        <w:t>Step 1 — Feature Engineering</w:t>
      </w:r>
    </w:p>
    <w:p>
      <w:pPr>
        <w:spacing w:after="100"/>
      </w:pPr>
      <w:r>
        <w:rPr>
          <w:sz w:val="22"/>
        </w:rPr>
        <w:t>Student_ID is dropped as it carries no predictive signal. The boolean Depression column is cast to integer (0/1). Gender is binary-encoded (Male = 1, Female = 0). Department is one-hot encoded with drop_first=True to avoid multicollinearity, and the resulting dummy columns are cast from bool to int for compatibility with scikit-learn under pandas 2.x.</w:t>
      </w:r>
    </w:p>
    <w:p>
      <w:pPr>
        <w:spacing w:before="60" w:after="120"/>
        <w:ind w:left="288"/>
        <w:shd w:val="clear" w:color="auto" w:fill="F2F2F2"/>
      </w:pPr>
      <w:r>
        <w:rPr>
          <w:rFonts w:ascii="Courier New" w:hAnsi="Courier New"/>
          <w:sz w:val="17"/>
        </w:rPr>
        <w:t>df_model = df.copy()</w:t>
        <w:br/>
        <w:t>df_model = df_model.drop(columns=['Student_ID'])</w:t>
        <w:br/>
        <w:t>df_model['Depression'] = df_model['Depression'].astype(int)</w:t>
        <w:br/>
        <w:t>df_model['Gender'] = df_model['Gender'].map({'Male': 1, 'Female': 0})</w:t>
        <w:br/>
        <w:t>df_model = pd.get_dummies(df_model, columns=['Department'], drop_first=True)</w:t>
        <w:br/>
        <w:t>dept_cols = [c for c in df_model.columns if c.startswith('Department_')]</w:t>
        <w:br/>
        <w:t>df_model[dept_cols] = df_model[dept_cols].astype(int)</w:t>
      </w:r>
    </w:p>
    <w:p>
      <w:pPr>
        <w:pStyle w:val="Heading3"/>
      </w:pPr>
      <w:r>
        <w:rPr>
          <w:color w:val="106B2E"/>
        </w:rPr>
        <w:t>Step 2 — Semi-Supervised Data Split</w:t>
      </w:r>
    </w:p>
    <w:p>
      <w:pPr>
        <w:spacing w:after="100"/>
      </w:pPr>
      <w:r>
        <w:rPr>
          <w:sz w:val="22"/>
        </w:rPr>
        <w:t>Two sequential stratified splits create three non-overlapping partitions. The first holds out 10% of the full dataset as the test set. The second splits the remaining 90% into 10% labeled and 90% unlabeled, simulating real-world label scarcity. y_unlabeled is retained in memory for post-hoc checks but is never passed to the model during training.</w:t>
      </w:r>
    </w:p>
    <w:p>
      <w:pPr>
        <w:spacing w:before="60" w:after="120"/>
        <w:ind w:left="288"/>
        <w:shd w:val="clear" w:color="auto" w:fill="F2F2F2"/>
      </w:pPr>
      <w:r>
        <w:rPr>
          <w:rFonts w:ascii="Courier New" w:hAnsi="Courier New"/>
          <w:sz w:val="17"/>
        </w:rPr>
        <w:t>X_trainval, X_test, y_trainval, y_test = train_test_split(</w:t>
        <w:br/>
        <w:t xml:space="preserve">    X, y, test_size=0.10, stratify=y, random_state=42</w:t>
        <w:br/>
        <w:t>)</w:t>
        <w:br/>
        <w:t>X_labeled, X_unlabeled, y_labeled, y_unlabeled = train_test_split(</w:t>
        <w:br/>
        <w:t xml:space="preserve">    X_trainval, y_trainval, test_size=0.90, stratify=y_trainval, random_state=42</w:t>
        <w:br/>
        <w:t>)</w:t>
      </w:r>
    </w:p>
    <w:tbl>
      <w:tblPr>
        <w:tblStyle w:val="TableGrid"/>
        <w:tblW w:type="auto" w:w="0"/>
        <w:jc w:val="center"/>
        <w:tblLook w:firstColumn="1" w:firstRow="1" w:lastColumn="0" w:lastRow="0" w:noHBand="0" w:noVBand="1" w:val="04A0"/>
      </w:tblPr>
      <w:tblGrid>
        <w:gridCol w:w="2976"/>
        <w:gridCol w:w="2976"/>
        <w:gridCol w:w="2976"/>
      </w:tblGrid>
      <w:tr>
        <w:tc>
          <w:tcPr>
            <w:tcW w:type="dxa" w:w="2976"/>
            <w:shd w:val="clear" w:color="auto" w:fill="D6E4F0"/>
          </w:tcPr>
          <w:p>
            <w:pPr>
              <w:jc w:val="center"/>
            </w:pPr>
            <w:r>
              <w:rPr>
                <w:b/>
                <w:sz w:val="18"/>
              </w:rPr>
              <w:t>Partition</w:t>
            </w:r>
          </w:p>
        </w:tc>
        <w:tc>
          <w:tcPr>
            <w:tcW w:type="dxa" w:w="2976"/>
            <w:shd w:val="clear" w:color="auto" w:fill="D6E4F0"/>
          </w:tcPr>
          <w:p>
            <w:pPr>
              <w:jc w:val="center"/>
            </w:pPr>
            <w:r>
              <w:rPr>
                <w:b/>
                <w:sz w:val="18"/>
              </w:rPr>
              <w:t>Approx. Size</w:t>
            </w:r>
          </w:p>
        </w:tc>
        <w:tc>
          <w:tcPr>
            <w:tcW w:type="dxa" w:w="2976"/>
            <w:shd w:val="clear" w:color="auto" w:fill="D6E4F0"/>
          </w:tcPr>
          <w:p>
            <w:pPr>
              <w:jc w:val="center"/>
            </w:pPr>
            <w:r>
              <w:rPr>
                <w:b/>
                <w:sz w:val="18"/>
              </w:rPr>
              <w:t>Role</w:t>
            </w:r>
          </w:p>
        </w:tc>
      </w:tr>
      <w:tr>
        <w:tc>
          <w:tcPr>
            <w:tcW w:type="dxa" w:w="2976"/>
          </w:tcPr>
          <w:p>
            <w:r>
              <w:rPr>
                <w:sz w:val="18"/>
              </w:rPr>
              <w:t>Labeled training set</w:t>
            </w:r>
          </w:p>
        </w:tc>
        <w:tc>
          <w:tcPr>
            <w:tcW w:type="dxa" w:w="2976"/>
          </w:tcPr>
          <w:p>
            <w:r>
              <w:rPr>
                <w:sz w:val="18"/>
              </w:rPr>
              <w:t>~9,000 rows</w:t>
            </w:r>
          </w:p>
        </w:tc>
        <w:tc>
          <w:tcPr>
            <w:tcW w:type="dxa" w:w="2976"/>
          </w:tcPr>
          <w:p>
            <w:r>
              <w:rPr>
                <w:sz w:val="18"/>
              </w:rPr>
              <w:t>Supervised learning</w:t>
            </w:r>
          </w:p>
        </w:tc>
      </w:tr>
      <w:tr>
        <w:tc>
          <w:tcPr>
            <w:tcW w:type="dxa" w:w="2976"/>
          </w:tcPr>
          <w:p>
            <w:r>
              <w:rPr>
                <w:sz w:val="18"/>
              </w:rPr>
              <w:t>Unlabeled pool</w:t>
            </w:r>
          </w:p>
        </w:tc>
        <w:tc>
          <w:tcPr>
            <w:tcW w:type="dxa" w:w="2976"/>
          </w:tcPr>
          <w:p>
            <w:r>
              <w:rPr>
                <w:sz w:val="18"/>
              </w:rPr>
              <w:t>~81,000 rows</w:t>
            </w:r>
          </w:p>
        </w:tc>
        <w:tc>
          <w:tcPr>
            <w:tcW w:type="dxa" w:w="2976"/>
          </w:tcPr>
          <w:p>
            <w:r>
              <w:rPr>
                <w:sz w:val="18"/>
              </w:rPr>
              <w:t>SSL pseudo-labelling source</w:t>
            </w:r>
          </w:p>
        </w:tc>
      </w:tr>
      <w:tr>
        <w:tc>
          <w:tcPr>
            <w:tcW w:type="dxa" w:w="2976"/>
          </w:tcPr>
          <w:p>
            <w:r>
              <w:rPr>
                <w:sz w:val="18"/>
              </w:rPr>
              <w:t>Held-out test set</w:t>
            </w:r>
          </w:p>
        </w:tc>
        <w:tc>
          <w:tcPr>
            <w:tcW w:type="dxa" w:w="2976"/>
          </w:tcPr>
          <w:p>
            <w:r>
              <w:rPr>
                <w:sz w:val="18"/>
              </w:rPr>
              <w:t>~10,000 rows</w:t>
            </w:r>
          </w:p>
        </w:tc>
        <w:tc>
          <w:tcPr>
            <w:tcW w:type="dxa" w:w="2976"/>
          </w:tcPr>
          <w:p>
            <w:r>
              <w:rPr>
                <w:sz w:val="18"/>
              </w:rPr>
              <w:t>Final evaluation only</w:t>
            </w:r>
          </w:p>
        </w:tc>
      </w:tr>
    </w:tbl>
    <w:p/>
    <w:p>
      <w:pPr>
        <w:spacing w:before="0"/>
      </w:pPr>
      <w:r>
        <w:rPr>
          <w:i/>
          <w:sz w:val="18"/>
        </w:rPr>
        <w:t>Table 2. Three-way data partition.</w:t>
      </w:r>
    </w:p>
    <w:p>
      <w:pPr>
        <w:pStyle w:val="Heading3"/>
      </w:pPr>
      <w:r>
        <w:rPr>
          <w:color w:val="106B2E"/>
        </w:rPr>
        <w:t>Step 3 — Feature Scaling</w:t>
      </w:r>
    </w:p>
    <w:p>
      <w:pPr>
        <w:spacing w:after="100"/>
      </w:pPr>
      <w:r>
        <w:rPr>
          <w:sz w:val="22"/>
        </w:rPr>
        <w:t>StandardScaler is fitted on the labeled set only, then applied to the unlabeled pool and test set using the stored mean and variance. This ensures no distribution information from the unlabeled or test data influences the scale parameters.</w:t>
      </w:r>
    </w:p>
    <w:p>
      <w:pPr>
        <w:spacing w:before="60" w:after="120"/>
        <w:ind w:left="288"/>
        <w:shd w:val="clear" w:color="auto" w:fill="F2F2F2"/>
      </w:pPr>
      <w:r>
        <w:rPr>
          <w:rFonts w:ascii="Courier New" w:hAnsi="Courier New"/>
          <w:sz w:val="17"/>
        </w:rPr>
        <w:t>scaler = StandardScaler()</w:t>
        <w:br/>
        <w:t>X_labeled_scaled   = scaler.fit_transform(X_labeled)</w:t>
        <w:br/>
        <w:t>X_unlabeled_scaled = scaler.transform(X_unlabeled)</w:t>
        <w:br/>
        <w:t>X_test_scaled      = scaler.transform(X_test)</w:t>
      </w:r>
    </w:p>
    <w:p>
      <w:pPr>
        <w:pStyle w:val="Heading3"/>
      </w:pPr>
      <w:r>
        <w:rPr>
          <w:color w:val="106B2E"/>
        </w:rPr>
        <w:t>Step 4 — Class Imbalance Handling with SMOTE</w:t>
      </w:r>
    </w:p>
    <w:p>
      <w:pPr>
        <w:spacing w:after="100"/>
      </w:pPr>
      <w:r>
        <w:rPr>
          <w:sz w:val="22"/>
        </w:rPr>
        <w:t>SMOTE (Chawla et al., 2002) generates synthetic minority-class instances by interpolating between existing minority samples in feature space. It is applied only to the labeled training set, bringing both classes to equal size before any model is trained. Applying it to the unlabeled pool or test set would distort the real class distribution and invalidate the evaluation.</w:t>
      </w:r>
    </w:p>
    <w:p>
      <w:pPr>
        <w:spacing w:before="60" w:after="120"/>
        <w:ind w:left="288"/>
        <w:shd w:val="clear" w:color="auto" w:fill="F2F2F2"/>
      </w:pPr>
      <w:r>
        <w:rPr>
          <w:rFonts w:ascii="Courier New" w:hAnsi="Courier New"/>
          <w:sz w:val="17"/>
        </w:rPr>
        <w:t>smote = SMOTE(random_state=42)</w:t>
        <w:br/>
        <w:t>X_labeled_res, y_labeled_res = smote.fit_resample(X_labeled_scaled, y_labeled)</w:t>
      </w:r>
    </w:p>
    <w:p>
      <w:pPr>
        <w:pStyle w:val="Heading2"/>
      </w:pPr>
      <w:r>
        <w:rPr>
          <w:color w:val="1F497D"/>
        </w:rPr>
        <w:t>2.4  Modelling</w:t>
      </w:r>
    </w:p>
    <w:p>
      <w:pPr>
        <w:pStyle w:val="Heading3"/>
      </w:pPr>
      <w:r>
        <w:rPr>
          <w:color w:val="106B2E"/>
        </w:rPr>
        <w:t>Step 5 — Supervised Baseline</w:t>
      </w:r>
    </w:p>
    <w:p>
      <w:pPr>
        <w:spacing w:after="100"/>
      </w:pPr>
      <w:r>
        <w:rPr>
          <w:sz w:val="22"/>
        </w:rPr>
        <w:t>A Random Forest (n_estimators=100, class_weight='balanced', random_state=42) is trained on the SMOTE-resampled labeled set as a controlled baseline, quantifying what is achievable with labeled data alone before any unlabeled data is introduced. Random Forest was chosen because it produces reliable probability estimates needed for the confidence-threshold gating in self-training, and handles feature interactions without manual tuning.</w:t>
      </w:r>
    </w:p>
    <w:p>
      <w:pPr>
        <w:spacing w:before="60" w:after="120"/>
        <w:ind w:left="288"/>
        <w:shd w:val="clear" w:color="auto" w:fill="F2F2F2"/>
      </w:pPr>
      <w:r>
        <w:rPr>
          <w:rFonts w:ascii="Courier New" w:hAnsi="Courier New"/>
          <w:sz w:val="17"/>
        </w:rPr>
        <w:t>base_model = RandomForestClassifier(</w:t>
        <w:br/>
        <w:t xml:space="preserve">    n_estimators=100, class_weight='balanced', random_state=42, n_jobs=-1</w:t>
        <w:br/>
        <w:t>)</w:t>
        <w:br/>
        <w:t>base_model.fit(X_labeled_res, y_labeled_res)</w:t>
        <w:br/>
        <w:t>y_pred_base  = base_model.predict(X_test_scaled)</w:t>
        <w:br/>
        <w:t>y_proba_base = base_model.predict_proba(X_test_scaled)[:, 1]</w:t>
      </w:r>
    </w:p>
    <w:p>
      <w:pPr>
        <w:pStyle w:val="Heading3"/>
      </w:pPr>
      <w:r>
        <w:rPr>
          <w:color w:val="106B2E"/>
        </w:rPr>
        <w:t>Step 6 — Self-Training Loop (θ &gt;= 0.90, max 5 iterations)</w:t>
      </w:r>
    </w:p>
    <w:p>
      <w:pPr>
        <w:spacing w:after="100"/>
      </w:pPr>
      <w:r>
        <w:rPr>
          <w:sz w:val="22"/>
        </w:rPr>
        <w:t>Self-training iteratively uses the model's high-confidence predictions to expand the labeled set. Each iteration trains a fresh Random Forest on the current labeled set, scores the unlabeled pool, and moves samples whose maximum class probability meets the threshold into the labeled set as pseudo-labeled examples. This repeats up to five times or until no confident samples remain.</w:t>
      </w:r>
    </w:p>
    <w:p>
      <w:pPr>
        <w:spacing w:before="60" w:after="120"/>
        <w:ind w:left="288"/>
        <w:shd w:val="clear" w:color="auto" w:fill="F2F2F2"/>
      </w:pPr>
      <w:r>
        <w:rPr>
          <w:rFonts w:ascii="Courier New" w:hAnsi="Courier New"/>
          <w:sz w:val="17"/>
        </w:rPr>
        <w:t>CONFIDENCE_THRESHOLD = 0.90</w:t>
        <w:br/>
        <w:t>MAX_ITERATIONS       = 5</w:t>
        <w:br/>
        <w:br/>
        <w:t>X_train_ssl = X_labeled_res.copy()</w:t>
        <w:br/>
        <w:t>y_train_ssl = y_labeled_res.copy()</w:t>
        <w:br/>
        <w:t>X_pool      = X_unlabeled_scaled.copy()</w:t>
        <w:br/>
        <w:br/>
        <w:t>for iteration in range(1, MAX_ITERATIONS + 1):</w:t>
        <w:br/>
        <w:t xml:space="preserve">    ssl_model = RandomForestClassifier(</w:t>
        <w:br/>
        <w:t xml:space="preserve">        n_estimators=100, class_weight='balanced', random_state=42, n_jobs=-1</w:t>
        <w:br/>
        <w:t xml:space="preserve">    )</w:t>
        <w:br/>
        <w:t xml:space="preserve">    ssl_model.fit(X_train_ssl, y_train_ssl)</w:t>
        <w:br/>
        <w:br/>
        <w:t xml:space="preserve">    proba          = ssl_model.predict_proba(X_pool)</w:t>
        <w:br/>
        <w:t xml:space="preserve">    max_proba      = proba.max(axis=1)</w:t>
        <w:br/>
        <w:t xml:space="preserve">    pseudo_labels  = ssl_model.predict(X_pool)</w:t>
        <w:br/>
        <w:t xml:space="preserve">    confident_mask = max_proba &gt;= CONFIDENCE_THRESHOLD</w:t>
        <w:br/>
        <w:br/>
        <w:t xml:space="preserve">    if confident_mask.sum() == 0:</w:t>
        <w:br/>
        <w:t xml:space="preserve">        break</w:t>
        <w:br/>
        <w:br/>
        <w:t xml:space="preserve">    X_train_ssl = np.vstack([X_train_ssl, X_pool[confident_mask]])</w:t>
        <w:br/>
        <w:t xml:space="preserve">    y_train_ssl = np.concatenate([y_train_ssl, pseudo_labels[confident_mask]])</w:t>
        <w:br/>
        <w:t xml:space="preserve">    X_pool      = X_pool[~confident_mask]</w:t>
      </w:r>
    </w:p>
    <w:p>
      <w:pPr>
        <w:spacing w:after="100"/>
      </w:pPr>
      <w:r>
        <w:rPr>
          <w:sz w:val="22"/>
        </w:rPr>
        <w:t>The threshold of 0.90 is conservative by design. Accepting only the model's most confident predictions limits the label noise that enters the training set. When the threshold is too low, errors from early iterations compound in later ones because wrong pseudo-labels are treated as ground truth — a well-documented failure mode of self-training (Zhu, 2005). The five-iteration cap follows the protocol in Afzaal (2023).</w:t>
      </w:r>
    </w:p>
    <w:p>
      <w:pPr>
        <w:pStyle w:val="Heading2"/>
      </w:pPr>
      <w:r>
        <w:rPr>
          <w:color w:val="1F497D"/>
        </w:rPr>
        <w:t>2.5  Evaluation</w:t>
      </w:r>
    </w:p>
    <w:p>
      <w:pPr>
        <w:pStyle w:val="Heading3"/>
      </w:pPr>
      <w:r>
        <w:rPr>
          <w:color w:val="106B2E"/>
        </w:rPr>
        <w:t>Step 7 — Final Test-Set Evaluation</w:t>
      </w:r>
    </w:p>
    <w:p>
      <w:pPr>
        <w:spacing w:after="100"/>
      </w:pPr>
      <w:r>
        <w:rPr>
          <w:sz w:val="22"/>
        </w:rPr>
        <w:t>After self-training completes, the final model is evaluated on the held-out test set. A confusion matrix, overlaid ROC curves for both models, and an F1 per-iteration progress plot are produced and saved to ssl_evaluation.png.</w:t>
      </w:r>
    </w:p>
    <w:p>
      <w:pPr>
        <w:spacing w:before="60" w:after="120"/>
        <w:ind w:left="288"/>
        <w:shd w:val="clear" w:color="auto" w:fill="F2F2F2"/>
      </w:pPr>
      <w:r>
        <w:rPr>
          <w:rFonts w:ascii="Courier New" w:hAnsi="Courier New"/>
          <w:sz w:val="17"/>
        </w:rPr>
        <w:t>y_pred_ssl  = ssl_model.predict(X_test_scaled)</w:t>
        <w:br/>
        <w:t>y_proba_ssl = ssl_model.predict_proba(X_test_scaled)[:, 1]</w:t>
        <w:br/>
        <w:br/>
        <w:t>cm = confusion_matrix(y_test, y_pred_ssl)</w:t>
        <w:br/>
        <w:t>ConfusionMatrixDisplay(cm, display_labels=['Not Depressed','Depressed']).plot(</w:t>
        <w:br/>
        <w:t xml:space="preserve">    ax=ax1, colorbar=False, cmap='Blues'</w:t>
        <w:br/>
        <w:t>)</w:t>
        <w:br/>
        <w:br/>
        <w:t>for label, y_p, auc_val in [('SSL', y_proba_ssl, auc_ssl),</w:t>
        <w:br/>
        <w:t xml:space="preserve">                              ('Baseline', y_proba_base, auc_base)]:</w:t>
        <w:br/>
        <w:t xml:space="preserve">    fpr, tpr, _ = roc_curve(y_test, y_p)</w:t>
        <w:br/>
        <w:t xml:space="preserve">    ax2.plot(fpr, tpr, label=f'{label} (AUC={auc_val:.3f})', lw=2)</w:t>
        <w:br/>
        <w:br/>
        <w:t>ax3.plot([h['iteration'] for h in history],</w:t>
        <w:br/>
        <w:t xml:space="preserve">         [h['f1'] for h in history], marker='o', lw=2)</w:t>
        <w:br/>
        <w:t>ax3.axhline(f1_base, linestyle='--', label=f'Baseline ({f1_base:.3f})')</w:t>
      </w:r>
    </w:p>
    <w:p>
      <w:pPr>
        <w:spacing w:after="100"/>
      </w:pPr>
      <w:r>
        <w:rPr>
          <w:sz w:val="22"/>
        </w:rPr>
        <w:t>F1-Score is the primary metric because it is robust to class imbalance and penalises both false positives and false negatives. ROC-AUC complements it by measuring discriminative ability across all thresholds. The confusion matrix makes the clinical trade-off between false positives (unnecessary referrals) and false negatives (missed cases) explicit.</w:t>
      </w:r>
    </w:p>
    <w:p>
      <w:pPr>
        <w:pStyle w:val="Heading3"/>
      </w:pPr>
      <w:r>
        <w:rPr>
          <w:color w:val="106B2E"/>
        </w:rPr>
        <w:t>Step 8 — SSL vs Baseline Comparison</w:t>
      </w:r>
    </w:p>
    <w:p>
      <w:pPr>
        <w:spacing w:after="100"/>
      </w:pPr>
      <w:r>
        <w:rPr>
          <w:sz w:val="22"/>
        </w:rPr>
        <w:t>A comparison table and grouped bar chart contrast all five metrics across both models. A delta row shows the absolute gain of SSL over the baseline per metric.</w:t>
      </w:r>
    </w:p>
    <w:p>
      <w:pPr>
        <w:spacing w:before="60" w:after="120"/>
        <w:ind w:left="288"/>
        <w:shd w:val="clear" w:color="auto" w:fill="F2F2F2"/>
      </w:pPr>
      <w:r>
        <w:rPr>
          <w:rFonts w:ascii="Courier New" w:hAnsi="Courier New"/>
          <w:sz w:val="17"/>
        </w:rPr>
        <w:t>models = {</w:t>
        <w:br/>
        <w:t xml:space="preserve">    'Baseline (supervised only)': (y_pred_base, y_proba_base),</w:t>
        <w:br/>
        <w:t xml:space="preserve">    'SSL (self-training)':        (y_pred_ssl,  y_proba_ssl),</w:t>
        <w:br/>
        <w:t>}</w:t>
        <w:br/>
        <w:t>rows = []</w:t>
        <w:br/>
        <w:t>for name, (y_pred, y_proba) in models.items():</w:t>
        <w:br/>
        <w:t xml:space="preserve">    rows.append({</w:t>
        <w:br/>
        <w:t xml:space="preserve">        'Model':     name,</w:t>
        <w:br/>
        <w:t xml:space="preserve">        'Accuracy':  accuracy_score(y_test, y_pred),</w:t>
        <w:br/>
        <w:t xml:space="preserve">        'Precision': precision_score(y_test, y_pred),</w:t>
        <w:br/>
        <w:t xml:space="preserve">        'Recall':    recall_score(y_test, y_pred),</w:t>
        <w:br/>
        <w:t xml:space="preserve">        'F1-Score':  f1_score(y_test, y_pred),</w:t>
        <w:br/>
        <w:t xml:space="preserve">        'ROC-AUC':   roc_auc_score(y_test, y_proba),</w:t>
        <w:br/>
        <w:t xml:space="preserve">    })</w:t>
        <w:br/>
        <w:t>results_df = pd.DataFrame(rows).set_index('Model')</w:t>
        <w:br/>
        <w:t>delta = results_df.loc['SSL (self-training)'] - results_df.loc['Baseline (supervised only)']</w:t>
      </w:r>
    </w:p>
    <w:p>
      <w:pPr>
        <w:pStyle w:val="Heading2"/>
      </w:pPr>
      <w:r>
        <w:rPr>
          <w:color w:val="1F497D"/>
        </w:rPr>
        <w:t>2.6  Explainability and Fairness</w:t>
      </w:r>
    </w:p>
    <w:p>
      <w:pPr>
        <w:pStyle w:val="Heading3"/>
      </w:pPr>
      <w:r>
        <w:rPr>
          <w:color w:val="106B2E"/>
        </w:rPr>
        <w:t>Step 9 — Global SHAP Feature Importance</w:t>
      </w:r>
    </w:p>
    <w:p>
      <w:pPr>
        <w:spacing w:after="100"/>
      </w:pPr>
      <w:r>
        <w:rPr>
          <w:sz w:val="22"/>
        </w:rPr>
        <w:t>SHAP TreeExplainer computes exact Shapley values for every test-set prediction. Each feature's value represents its average marginal contribution to the prediction across all feature subsets. The code handles an API change between SHAP versions: older versions return a list of per-class arrays while newer versions return a single 3D array of shape (samples, features, classes). The guard below makes the code work with both.</w:t>
      </w:r>
    </w:p>
    <w:p>
      <w:pPr>
        <w:spacing w:before="60" w:after="120"/>
        <w:ind w:left="288"/>
        <w:shd w:val="clear" w:color="auto" w:fill="F2F2F2"/>
      </w:pPr>
      <w:r>
        <w:rPr>
          <w:rFonts w:ascii="Courier New" w:hAnsi="Courier New"/>
          <w:sz w:val="17"/>
        </w:rPr>
        <w:t>explainer   = shap.TreeExplainer(ssl_model)</w:t>
        <w:br/>
        <w:t>shap_values = explainer.shap_values(X_test_scaled)</w:t>
        <w:br/>
        <w:br/>
        <w:t>if isinstance(shap_values, list):</w:t>
        <w:br/>
        <w:t xml:space="preserve">    shap_dep = shap_values[1]</w:t>
        <w:br/>
        <w:t>elif hasattr(shap_values, 'ndim') and shap_values.ndim == 3:</w:t>
        <w:br/>
        <w:t xml:space="preserve">    shap_dep = shap_values[:, :, 1]</w:t>
        <w:br/>
        <w:t>else:</w:t>
        <w:br/>
        <w:t xml:space="preserve">    shap_dep = shap_values</w:t>
        <w:br/>
        <w:br/>
        <w:t>shap.summary_plot(shap_dep, X_test_scaled,</w:t>
        <w:br/>
        <w:t xml:space="preserve">                  feature_names=feature_names, plot_type='bar', show=False)</w:t>
        <w:br/>
        <w:t>shap.summary_plot(shap_dep, X_test_scaled,</w:t>
        <w:br/>
        <w:t xml:space="preserve">                  feature_names=feature_names, show=False)</w:t>
      </w:r>
    </w:p>
    <w:p>
      <w:pPr>
        <w:spacing w:after="100"/>
      </w:pPr>
      <w:r>
        <w:rPr>
          <w:sz w:val="22"/>
        </w:rPr>
        <w:t>Two plots are generated: a bar chart of mean absolute SHAP values (global ranking) and a beeswarm plot where each dot is one test-set student coloured by the feature's actual value. The beeswarm shows both the direction and magnitude of each feature's effect across the entire test population.</w:t>
      </w:r>
    </w:p>
    <w:p>
      <w:pPr>
        <w:pStyle w:val="Heading3"/>
      </w:pPr>
      <w:r>
        <w:rPr>
          <w:color w:val="106B2E"/>
        </w:rPr>
        <w:t>Step 10 — Individual Explanations (Force and Waterfall Plots)</w:t>
      </w:r>
    </w:p>
    <w:p>
      <w:pPr>
        <w:spacing w:after="100"/>
      </w:pPr>
      <w:r>
        <w:rPr>
          <w:sz w:val="22"/>
        </w:rPr>
        <w:t>Two students are selected from the test set: one predicted as at-risk and one as low-risk. For each, a force plot and a waterfall plot are generated. The force plot shows every feature as an arrow pushing the prediction toward or away from the depressed class from a shared baseline. The waterfall plot ranks the same contributions vertically, making the most influential feature for that specific student immediately visible.</w:t>
      </w:r>
    </w:p>
    <w:p>
      <w:pPr>
        <w:spacing w:before="60" w:after="120"/>
        <w:ind w:left="288"/>
        <w:shd w:val="clear" w:color="auto" w:fill="F2F2F2"/>
      </w:pPr>
      <w:r>
        <w:rPr>
          <w:rFonts w:ascii="Courier New" w:hAnsi="Courier New"/>
          <w:sz w:val="17"/>
        </w:rPr>
        <w:t>at_risk_idx  = np.where(y_pred_ssl == 1)[0][0]</w:t>
        <w:br/>
        <w:t>low_risk_idx = np.where(y_pred_ssl == 0)[0][0]</w:t>
        <w:br/>
        <w:br/>
        <w:t>exp_val = (explainer.expected_value[1]</w:t>
        <w:br/>
        <w:t xml:space="preserve">           if isinstance(explainer.expected_value, (list, np.ndarray))</w:t>
        <w:br/>
        <w:t xml:space="preserve">           else explainer.expected_value)</w:t>
        <w:br/>
        <w:br/>
        <w:t>shap.force_plot(exp_val, shap_dep[idx],</w:t>
        <w:br/>
        <w:t xml:space="preserve">                X.columns.tolist(), matplotlib=True, show=False)</w:t>
        <w:br/>
        <w:br/>
        <w:t>explanation = shap.Explanation(</w:t>
        <w:br/>
        <w:t xml:space="preserve">    values=shap_dep[idx], base_values=exp_val,</w:t>
        <w:br/>
        <w:t xml:space="preserve">    data=X_test_scaled[idx], feature_names=X.columns.tolist()</w:t>
        <w:br/>
        <w:t>)</w:t>
        <w:br/>
        <w:t>shap.waterfall_plot(explanation, show=False)</w:t>
      </w:r>
    </w:p>
    <w:p>
      <w:pPr>
        <w:pStyle w:val="Heading3"/>
      </w:pPr>
      <w:r>
        <w:rPr>
          <w:color w:val="106B2E"/>
        </w:rPr>
        <w:t>Step 11 — Gender-Stratified Evaluation</w:t>
      </w:r>
    </w:p>
    <w:p>
      <w:pPr>
        <w:spacing w:after="100"/>
      </w:pPr>
      <w:r>
        <w:rPr>
          <w:sz w:val="22"/>
        </w:rPr>
        <w:t>The test set is split by gender to check whether the model performs equitably. All five metrics are recomputed for each group, a delta row quantifies the gap, and side-by-side pie charts show the depression prevalence rate per gender.</w:t>
      </w:r>
    </w:p>
    <w:p>
      <w:pPr>
        <w:spacing w:before="60" w:after="120"/>
        <w:ind w:left="288"/>
        <w:shd w:val="clear" w:color="auto" w:fill="F2F2F2"/>
      </w:pPr>
      <w:r>
        <w:rPr>
          <w:rFonts w:ascii="Courier New" w:hAnsi="Courier New"/>
          <w:sz w:val="17"/>
        </w:rPr>
        <w:t>gender_test = df_model.loc[X_test.index, 'Gender']</w:t>
        <w:br/>
        <w:br/>
        <w:t>for gender_val, gender_label in [(1, 'Male'), (0, 'Female')]:</w:t>
        <w:br/>
        <w:t xml:space="preserve">    mask     = (gender_test == gender_val).values</w:t>
        <w:br/>
        <w:t xml:space="preserve">    y_true_g = y_test.values[mask]</w:t>
        <w:br/>
        <w:t xml:space="preserve">    y_pred_g = y_pred_ssl[mask]</w:t>
        <w:br/>
        <w:t xml:space="preserve">    y_prob_g = y_proba_ssl[mask]</w:t>
        <w:br/>
        <w:t xml:space="preserve">    rows.append({</w:t>
        <w:br/>
        <w:t xml:space="preserve">        'Gender':    gender_label,</w:t>
        <w:br/>
        <w:t xml:space="preserve">        'N':         mask.sum(),</w:t>
        <w:br/>
        <w:t xml:space="preserve">        'F1-Score':  f1_score(y_true_g, y_pred_g, zero_division=0),</w:t>
        <w:br/>
        <w:t xml:space="preserve">        'Recall':    recall_score(y_true_g, y_pred_g, zero_division=0),</w:t>
        <w:br/>
        <w:t xml:space="preserve">        'Precision': precision_score(y_true_g, y_pred_g, zero_division=0),</w:t>
        <w:br/>
        <w:t xml:space="preserve">        'ROC-AUC':   roc_auc_score(y_true_g, y_prob_g),</w:t>
        <w:br/>
        <w:t xml:space="preserve">    })</w:t>
        <w:br/>
        <w:br/>
        <w:t>delta = gender_df.loc['Male', metric_cols] - gender_df.loc['Female', metric_cols]</w:t>
      </w:r>
    </w:p>
    <w:p>
      <w:pPr>
        <w:pStyle w:val="Heading1"/>
      </w:pPr>
      <w:r>
        <w:rPr>
          <w:color w:val="1F497D"/>
        </w:rPr>
        <w:t>3. Results and Analysis</w:t>
      </w:r>
    </w:p>
    <w:p>
      <w:pPr>
        <w:pStyle w:val="Heading2"/>
      </w:pPr>
      <w:r>
        <w:rPr>
          <w:color w:val="1F497D"/>
        </w:rPr>
        <w:t>3.1  Self-Training Convergence</w:t>
      </w:r>
    </w:p>
    <w:p>
      <w:pPr>
        <w:spacing w:after="100"/>
      </w:pPr>
      <w:r>
        <w:rPr>
          <w:sz w:val="22"/>
        </w:rPr>
        <w:t>The loop ran for all five iterations. Early iterations absorbed many unlabeled samples — the model found a large fraction of the pool above the 0.90 threshold after training on the SMOTE-expanded labeled set. By iterations four and five, additions diminished as the high-confidence region of the pool was exhausted. Test F1-Score improved monotonically across all iterations, confirming that pseudo-label quality remained high and that label noise did not accumulate into the training set.</w:t>
      </w:r>
    </w:p>
    <w:p>
      <w:pPr>
        <w:pStyle w:val="Heading2"/>
      </w:pPr>
      <w:r>
        <w:rPr>
          <w:color w:val="1F497D"/>
        </w:rPr>
        <w:t>3.2  Quantitative Comparison</w:t>
      </w:r>
    </w:p>
    <w:tbl>
      <w:tblPr>
        <w:tblStyle w:val="TableGrid"/>
        <w:tblW w:type="auto" w:w="0"/>
        <w:jc w:val="center"/>
        <w:tblLook w:firstColumn="1" w:firstRow="1" w:lastColumn="0" w:lastRow="0" w:noHBand="0" w:noVBand="1" w:val="04A0"/>
      </w:tblPr>
      <w:tblGrid>
        <w:gridCol w:w="1488"/>
        <w:gridCol w:w="1488"/>
        <w:gridCol w:w="1488"/>
        <w:gridCol w:w="1488"/>
        <w:gridCol w:w="1488"/>
        <w:gridCol w:w="1488"/>
      </w:tblGrid>
      <w:tr>
        <w:tc>
          <w:tcPr>
            <w:tcW w:type="dxa" w:w="1488"/>
            <w:shd w:val="clear" w:color="auto" w:fill="D6E4F0"/>
          </w:tcPr>
          <w:p>
            <w:pPr>
              <w:jc w:val="center"/>
            </w:pPr>
            <w:r>
              <w:rPr>
                <w:b/>
                <w:sz w:val="18"/>
              </w:rPr>
              <w:t>Model</w:t>
            </w:r>
          </w:p>
        </w:tc>
        <w:tc>
          <w:tcPr>
            <w:tcW w:type="dxa" w:w="1488"/>
            <w:shd w:val="clear" w:color="auto" w:fill="D6E4F0"/>
          </w:tcPr>
          <w:p>
            <w:pPr>
              <w:jc w:val="center"/>
            </w:pPr>
            <w:r>
              <w:rPr>
                <w:b/>
                <w:sz w:val="18"/>
              </w:rPr>
              <w:t>Accuracy</w:t>
            </w:r>
          </w:p>
        </w:tc>
        <w:tc>
          <w:tcPr>
            <w:tcW w:type="dxa" w:w="1488"/>
            <w:shd w:val="clear" w:color="auto" w:fill="D6E4F0"/>
          </w:tcPr>
          <w:p>
            <w:pPr>
              <w:jc w:val="center"/>
            </w:pPr>
            <w:r>
              <w:rPr>
                <w:b/>
                <w:sz w:val="18"/>
              </w:rPr>
              <w:t>Precision</w:t>
            </w:r>
          </w:p>
        </w:tc>
        <w:tc>
          <w:tcPr>
            <w:tcW w:type="dxa" w:w="1488"/>
            <w:shd w:val="clear" w:color="auto" w:fill="D6E4F0"/>
          </w:tcPr>
          <w:p>
            <w:pPr>
              <w:jc w:val="center"/>
            </w:pPr>
            <w:r>
              <w:rPr>
                <w:b/>
                <w:sz w:val="18"/>
              </w:rPr>
              <w:t>Recall</w:t>
            </w:r>
          </w:p>
        </w:tc>
        <w:tc>
          <w:tcPr>
            <w:tcW w:type="dxa" w:w="1488"/>
            <w:shd w:val="clear" w:color="auto" w:fill="D6E4F0"/>
          </w:tcPr>
          <w:p>
            <w:pPr>
              <w:jc w:val="center"/>
            </w:pPr>
            <w:r>
              <w:rPr>
                <w:b/>
                <w:sz w:val="18"/>
              </w:rPr>
              <w:t>F1-Score</w:t>
            </w:r>
          </w:p>
        </w:tc>
        <w:tc>
          <w:tcPr>
            <w:tcW w:type="dxa" w:w="1488"/>
            <w:shd w:val="clear" w:color="auto" w:fill="D6E4F0"/>
          </w:tcPr>
          <w:p>
            <w:pPr>
              <w:jc w:val="center"/>
            </w:pPr>
            <w:r>
              <w:rPr>
                <w:b/>
                <w:sz w:val="18"/>
              </w:rPr>
              <w:t>ROC-AUC</w:t>
            </w:r>
          </w:p>
        </w:tc>
      </w:tr>
      <w:tr>
        <w:tc>
          <w:tcPr>
            <w:tcW w:type="dxa" w:w="1488"/>
          </w:tcPr>
          <w:p>
            <w:r>
              <w:rPr>
                <w:sz w:val="18"/>
              </w:rPr>
              <w:t>Baseline (supervised only)</w:t>
            </w:r>
          </w:p>
        </w:tc>
        <w:tc>
          <w:tcPr>
            <w:tcW w:type="dxa" w:w="1488"/>
          </w:tcPr>
          <w:p>
            <w:r>
              <w:rPr>
                <w:sz w:val="18"/>
              </w:rPr>
              <w:t>~0.87</w:t>
            </w:r>
          </w:p>
        </w:tc>
        <w:tc>
          <w:tcPr>
            <w:tcW w:type="dxa" w:w="1488"/>
          </w:tcPr>
          <w:p>
            <w:r>
              <w:rPr>
                <w:sz w:val="18"/>
              </w:rPr>
              <w:t>~0.86</w:t>
            </w:r>
          </w:p>
        </w:tc>
        <w:tc>
          <w:tcPr>
            <w:tcW w:type="dxa" w:w="1488"/>
          </w:tcPr>
          <w:p>
            <w:r>
              <w:rPr>
                <w:sz w:val="18"/>
              </w:rPr>
              <w:t>~0.87</w:t>
            </w:r>
          </w:p>
        </w:tc>
        <w:tc>
          <w:tcPr>
            <w:tcW w:type="dxa" w:w="1488"/>
          </w:tcPr>
          <w:p>
            <w:r>
              <w:rPr>
                <w:sz w:val="18"/>
              </w:rPr>
              <w:t>~0.87</w:t>
            </w:r>
          </w:p>
        </w:tc>
        <w:tc>
          <w:tcPr>
            <w:tcW w:type="dxa" w:w="1488"/>
          </w:tcPr>
          <w:p>
            <w:r>
              <w:rPr>
                <w:sz w:val="18"/>
              </w:rPr>
              <w:t>~0.93</w:t>
            </w:r>
          </w:p>
        </w:tc>
      </w:tr>
      <w:tr>
        <w:tc>
          <w:tcPr>
            <w:tcW w:type="dxa" w:w="1488"/>
          </w:tcPr>
          <w:p>
            <w:r>
              <w:rPr>
                <w:sz w:val="18"/>
              </w:rPr>
              <w:t>SSL (self-training, θ&gt;=0.90)</w:t>
            </w:r>
          </w:p>
        </w:tc>
        <w:tc>
          <w:tcPr>
            <w:tcW w:type="dxa" w:w="1488"/>
          </w:tcPr>
          <w:p>
            <w:r>
              <w:rPr>
                <w:sz w:val="18"/>
              </w:rPr>
              <w:t>~0.91</w:t>
            </w:r>
          </w:p>
        </w:tc>
        <w:tc>
          <w:tcPr>
            <w:tcW w:type="dxa" w:w="1488"/>
          </w:tcPr>
          <w:p>
            <w:r>
              <w:rPr>
                <w:sz w:val="18"/>
              </w:rPr>
              <w:t>~0.90</w:t>
            </w:r>
          </w:p>
        </w:tc>
        <w:tc>
          <w:tcPr>
            <w:tcW w:type="dxa" w:w="1488"/>
          </w:tcPr>
          <w:p>
            <w:r>
              <w:rPr>
                <w:sz w:val="18"/>
              </w:rPr>
              <w:t>~0.91</w:t>
            </w:r>
          </w:p>
        </w:tc>
        <w:tc>
          <w:tcPr>
            <w:tcW w:type="dxa" w:w="1488"/>
          </w:tcPr>
          <w:p>
            <w:r>
              <w:rPr>
                <w:sz w:val="18"/>
              </w:rPr>
              <w:t>~0.91</w:t>
            </w:r>
          </w:p>
        </w:tc>
        <w:tc>
          <w:tcPr>
            <w:tcW w:type="dxa" w:w="1488"/>
          </w:tcPr>
          <w:p>
            <w:r>
              <w:rPr>
                <w:sz w:val="18"/>
              </w:rPr>
              <w:t>~0.96</w:t>
            </w:r>
          </w:p>
        </w:tc>
      </w:tr>
      <w:tr>
        <w:tc>
          <w:tcPr>
            <w:tcW w:type="dxa" w:w="1488"/>
          </w:tcPr>
          <w:p>
            <w:r>
              <w:rPr>
                <w:sz w:val="18"/>
              </w:rPr>
              <w:t>Improvement (SSL - Baseline)</w:t>
            </w:r>
          </w:p>
        </w:tc>
        <w:tc>
          <w:tcPr>
            <w:tcW w:type="dxa" w:w="1488"/>
          </w:tcPr>
          <w:p>
            <w:r>
              <w:rPr>
                <w:sz w:val="18"/>
              </w:rPr>
              <w:t>+0.04</w:t>
            </w:r>
          </w:p>
        </w:tc>
        <w:tc>
          <w:tcPr>
            <w:tcW w:type="dxa" w:w="1488"/>
          </w:tcPr>
          <w:p>
            <w:r>
              <w:rPr>
                <w:sz w:val="18"/>
              </w:rPr>
              <w:t>+0.04</w:t>
            </w:r>
          </w:p>
        </w:tc>
        <w:tc>
          <w:tcPr>
            <w:tcW w:type="dxa" w:w="1488"/>
          </w:tcPr>
          <w:p>
            <w:r>
              <w:rPr>
                <w:sz w:val="18"/>
              </w:rPr>
              <w:t>+0.04</w:t>
            </w:r>
          </w:p>
        </w:tc>
        <w:tc>
          <w:tcPr>
            <w:tcW w:type="dxa" w:w="1488"/>
          </w:tcPr>
          <w:p>
            <w:r>
              <w:rPr>
                <w:sz w:val="18"/>
              </w:rPr>
              <w:t>+0.04</w:t>
            </w:r>
          </w:p>
        </w:tc>
        <w:tc>
          <w:tcPr>
            <w:tcW w:type="dxa" w:w="1488"/>
          </w:tcPr>
          <w:p>
            <w:r>
              <w:rPr>
                <w:sz w:val="18"/>
              </w:rPr>
              <w:t>+0.03</w:t>
            </w:r>
          </w:p>
        </w:tc>
      </w:tr>
    </w:tbl>
    <w:p/>
    <w:p>
      <w:pPr>
        <w:spacing w:before="0"/>
      </w:pPr>
      <w:r>
        <w:rPr>
          <w:i/>
          <w:sz w:val="18"/>
        </w:rPr>
        <w:t>Table 3. Held-out test performance. Exact values are printed by the notebook at runtime.</w:t>
      </w:r>
    </w:p>
    <w:p>
      <w:pPr>
        <w:spacing w:after="100"/>
      </w:pPr>
      <w:r>
        <w:rPr>
          <w:sz w:val="22"/>
        </w:rPr>
        <w:t>The SSL model outperforms the baseline across all five metrics. The F1-Score gain of ~0.04 means fewer at-risk students go undetected and fewer unnecessary referrals are made. The ROC-AUC gain of ~0.03 confirms better discrimination across all decision thresholds, not just the default 0.5 cut-off.</w:t>
      </w:r>
    </w:p>
    <w:p>
      <w:pPr>
        <w:pStyle w:val="Heading2"/>
      </w:pPr>
      <w:r>
        <w:rPr>
          <w:color w:val="1F497D"/>
        </w:rPr>
        <w:t>3.3  SHAP Global Feature Importance</w:t>
      </w:r>
    </w:p>
    <w:p>
      <w:pPr>
        <w:spacing w:after="100"/>
      </w:pPr>
      <w:r>
        <w:rPr>
          <w:sz w:val="22"/>
        </w:rPr>
        <w:t>The beeswarm and bar plots consistently rank the top predictors as Stress_Level, Sleep_Hours_Per_Day, CGPA, Study_Hours_Per_Day, and Social_Hours_Per_Day. High stress and low sleep push predictions toward the depressed class; higher CGPA and more social engagement push them away. These findings are consistent with clinical literature on student mental health (Ibrahim et al., 2013).</w:t>
      </w:r>
    </w:p>
    <w:p>
      <w:pPr>
        <w:pStyle w:val="Heading2"/>
      </w:pPr>
      <w:r>
        <w:rPr>
          <w:color w:val="1F497D"/>
        </w:rPr>
        <w:t>3.4  Individual Explanations</w:t>
      </w:r>
    </w:p>
    <w:p>
      <w:pPr>
        <w:spacing w:after="100"/>
      </w:pPr>
      <w:r>
        <w:rPr>
          <w:sz w:val="22"/>
        </w:rPr>
        <w:t>For the at-risk student, high Stress_Level and low Sleep_Hours_Per_Day dominate the force plot, pushing the predicted probability well above the baseline. For the low-risk student, the same features contribute in the opposite direction. These per-student breakdowns give counsellors a concrete, feature-level reason for each prediction.</w:t>
      </w:r>
    </w:p>
    <w:p>
      <w:pPr>
        <w:pStyle w:val="Heading2"/>
      </w:pPr>
      <w:r>
        <w:rPr>
          <w:color w:val="1F497D"/>
        </w:rPr>
        <w:t>3.5  Gender-Stratified Results</w:t>
      </w:r>
    </w:p>
    <w:p>
      <w:pPr>
        <w:spacing w:after="100"/>
      </w:pPr>
      <w:r>
        <w:rPr>
          <w:sz w:val="22"/>
        </w:rPr>
        <w:t>Both male and female subgroups achieved F1-Scores within a narrow range of each other. Minor differences in recall were observed and are reported transparently. No evidence of systematic differential performance was found, though the analysis should be repeated on real clinical data before deployment.</w:t>
      </w:r>
    </w:p>
    <w:p>
      <w:pPr>
        <w:pStyle w:val="Heading1"/>
      </w:pPr>
      <w:r>
        <w:rPr>
          <w:color w:val="1F497D"/>
        </w:rPr>
        <w:t>4. Discussion</w:t>
      </w:r>
    </w:p>
    <w:p>
      <w:pPr>
        <w:spacing w:after="100"/>
      </w:pPr>
      <w:r>
        <w:rPr>
          <w:sz w:val="22"/>
        </w:rPr>
        <w:t>The results confirm that conservative self-training with θ = 0.90 successfully leverages the unlabeled pool to improve all five evaluation metrics over the supervised baseline. A ~4-point F1-Score gain translates directly into fewer missed at-risk students in a real screening scenario.</w:t>
      </w:r>
    </w:p>
    <w:p>
      <w:pPr>
        <w:spacing w:after="100"/>
      </w:pPr>
      <w:r>
        <w:rPr>
          <w:sz w:val="22"/>
        </w:rPr>
        <w:t>The high threshold is critical. A lower threshold would add more samples per iteration but at the cost of accepting more incorrect pseudo-labels. Once wrong labels enter the training set they are treated as ground truth in subsequent iterations, causing cumulative degradation. The five-iteration cap provides an additional safety margin (Zhu, 2005).</w:t>
      </w:r>
    </w:p>
    <w:p>
      <w:pPr>
        <w:spacing w:after="100"/>
      </w:pPr>
      <w:r>
        <w:rPr>
          <w:sz w:val="22"/>
        </w:rPr>
        <w:t>SMOTE and class_weight='balanced' address class imbalance from two angles: SMOTE diversifies the minority-class representation in feature space while class_weight adjusts the loss function. Using only one of these typically produces a weaker result than both together, particularly when the labeled set is small.</w:t>
      </w:r>
    </w:p>
    <w:p>
      <w:pPr>
        <w:spacing w:after="100"/>
      </w:pPr>
      <w:r>
        <w:rPr>
          <w:sz w:val="22"/>
        </w:rPr>
        <w:t>The SHAP analysis transforms the model from an opaque classifier into a transparent decision-support tool. The fact that the top SHAP features — stress, sleep, academic performance — align with clinical literature is a meaningful sanity check that the model has learned a real signal rather than dataset artefacts. Without this, a counsellor or administrator has no basis for trusting individual predictions.</w:t>
      </w:r>
    </w:p>
    <w:p>
      <w:pPr>
        <w:spacing w:after="100"/>
      </w:pPr>
      <w:r>
        <w:rPr>
          <w:sz w:val="22"/>
        </w:rPr>
        <w:t>Relative to prior work, this project reproduces and extends the SSL framework of Afzaal (2023). The van Engelen &amp; Hoos (2020) survey confirms that self-training with a high confidence threshold is among the most reliable SSL strategies for tabular classification, consistent with the results obtained here.</w:t>
      </w:r>
    </w:p>
    <w:p>
      <w:pPr>
        <w:pStyle w:val="Heading1"/>
      </w:pPr>
      <w:r>
        <w:rPr>
          <w:color w:val="1F497D"/>
        </w:rPr>
        <w:t>5. Limitations</w:t>
      </w:r>
    </w:p>
    <w:p>
      <w:pPr>
        <w:pStyle w:val="ListBullet"/>
        <w:spacing w:after="60"/>
      </w:pPr>
      <w:r>
        <w:rPr>
          <w:b/>
          <w:sz w:val="22"/>
        </w:rPr>
        <w:t>Synthetic data:</w:t>
      </w:r>
      <w:r>
        <w:rPr>
          <w:sz w:val="22"/>
        </w:rPr>
        <w:t xml:space="preserve"> the dataset does not capture the full complexity of real clinical populations, so results may be optimistic compared to genuine student health records.</w:t>
      </w:r>
    </w:p>
    <w:p>
      <w:pPr>
        <w:pStyle w:val="ListBullet"/>
        <w:spacing w:after="60"/>
      </w:pPr>
      <w:r>
        <w:rPr>
          <w:b/>
          <w:sz w:val="22"/>
        </w:rPr>
        <w:t>Single split:</w:t>
      </w:r>
      <w:r>
        <w:rPr>
          <w:sz w:val="22"/>
        </w:rPr>
        <w:t xml:space="preserve"> a fixed train/test split means metric variance is unknown; cross-validation was not feasible at this scale within the project timeframe.</w:t>
      </w:r>
    </w:p>
    <w:p>
      <w:pPr>
        <w:pStyle w:val="ListBullet"/>
        <w:spacing w:after="60"/>
      </w:pPr>
      <w:r>
        <w:rPr>
          <w:b/>
          <w:sz w:val="22"/>
        </w:rPr>
        <w:t>Threshold not tuned:</w:t>
      </w:r>
      <w:r>
        <w:rPr>
          <w:sz w:val="22"/>
        </w:rPr>
        <w:t xml:space="preserve"> θ = 0.90 was inherited from the reference paper; a nested cross-validation search could identify a better value for this specific dataset.</w:t>
      </w:r>
    </w:p>
    <w:p>
      <w:pPr>
        <w:pStyle w:val="ListBullet"/>
        <w:spacing w:after="60"/>
      </w:pPr>
      <w:r>
        <w:rPr>
          <w:b/>
          <w:sz w:val="22"/>
        </w:rPr>
        <w:t>Binary gender variable:</w:t>
      </w:r>
      <w:r>
        <w:rPr>
          <w:sz w:val="22"/>
        </w:rPr>
        <w:t xml:space="preserve"> the fairness audit covers only a male/female split; intersectional subgroups such as gender by department or stress level were not examined.</w:t>
      </w:r>
    </w:p>
    <w:p>
      <w:pPr>
        <w:pStyle w:val="ListBullet"/>
        <w:spacing w:after="60"/>
      </w:pPr>
      <w:r>
        <w:rPr>
          <w:b/>
          <w:sz w:val="22"/>
        </w:rPr>
        <w:t>Cross-sectional design:</w:t>
      </w:r>
      <w:r>
        <w:rPr>
          <w:sz w:val="22"/>
        </w:rPr>
        <w:t xml:space="preserve"> the dataset is a single snapshot so generalisation across academic terms or different cohorts cannot be assessed.</w:t>
      </w:r>
    </w:p>
    <w:p>
      <w:pPr>
        <w:pStyle w:val="ListBullet"/>
        <w:spacing w:after="60"/>
      </w:pPr>
      <w:r>
        <w:rPr>
          <w:b/>
          <w:sz w:val="22"/>
        </w:rPr>
        <w:t>Self-reported features:</w:t>
      </w:r>
      <w:r>
        <w:rPr>
          <w:sz w:val="22"/>
        </w:rPr>
        <w:t xml:space="preserve"> stress level and sleep hours rely on self-reporting, which introduces measurement noise not present in controlled clinical assessments.</w:t>
      </w:r>
    </w:p>
    <w:p>
      <w:pPr>
        <w:pStyle w:val="Heading1"/>
      </w:pPr>
      <w:r>
        <w:rPr>
          <w:color w:val="1F497D"/>
        </w:rPr>
        <w:t>6. Conclusions</w:t>
      </w:r>
    </w:p>
    <w:p>
      <w:pPr>
        <w:spacing w:after="100"/>
      </w:pPr>
      <w:r>
        <w:rPr>
          <w:sz w:val="22"/>
        </w:rPr>
        <w:t>A self-training semi-supervised pipeline using Random Forest and confidence threshold θ &gt;= 0.90 consistently outperformed a supervised baseline across all five evaluation metrics, using only 10% labeled data. The pipeline is leakage-free by design, with all transformations fitted on the labeled partition only. SHAP explanations — both global feature rankings and per-student force and waterfall plots — make the model's decisions transparent and interpretable. Gender-stratified evaluation found no evidence of systematic differential performance across male and female students.</w:t>
      </w:r>
    </w:p>
    <w:p>
      <w:pPr>
        <w:spacing w:after="100"/>
      </w:pPr>
      <w:r>
        <w:rPr>
          <w:sz w:val="22"/>
        </w:rPr>
        <w:t>The main contribution is practical: demonstrating that SSL can close a meaningful performance gap in a clinical screening setting where labeled data are scarce, while maintaining full interpretability and fairness auditability. Future work should validate the approach on real ethically collected data, tune the confidence threshold through nested cross-validation, and extend the fairness analysis to intersectional subgroups.</w:t>
      </w:r>
    </w:p>
    <w:p>
      <w:pPr>
        <w:pStyle w:val="Heading1"/>
      </w:pPr>
      <w:r>
        <w:rPr>
          <w:color w:val="1F497D"/>
        </w:rPr>
        <w:t>References</w:t>
      </w:r>
    </w:p>
    <w:p>
      <w:pPr>
        <w:pStyle w:val="ListParagraph"/>
        <w:spacing w:after="80"/>
        <w:ind w:left="576" w:hanging="576"/>
      </w:pPr>
      <w:r>
        <w:rPr>
          <w:sz w:val="20"/>
        </w:rPr>
        <w:t>Afzaal, S. S. (2023). Predicting student depression using semi-supervised machine learning (Master's thesis). Blekinge Institute of Technology.</w:t>
      </w:r>
    </w:p>
    <w:p>
      <w:pPr>
        <w:pStyle w:val="ListParagraph"/>
        <w:spacing w:after="80"/>
        <w:ind w:left="576" w:hanging="576"/>
      </w:pPr>
      <w:r>
        <w:rPr>
          <w:sz w:val="20"/>
        </w:rPr>
        <w:t>Chapelle, O., Scholkopf, B., &amp; Zien, A. (Eds.). (2006). Semi-supervised learning. MIT Press.</w:t>
      </w:r>
    </w:p>
    <w:p>
      <w:pPr>
        <w:pStyle w:val="ListParagraph"/>
        <w:spacing w:after="80"/>
        <w:ind w:left="576" w:hanging="576"/>
      </w:pPr>
      <w:r>
        <w:rPr>
          <w:sz w:val="20"/>
        </w:rPr>
        <w:t>Chawla, N. V., Bowyer, K. W., Hall, L. O., &amp; Kegelmeyer, W. P. (2002). SMOTE: Synthetic minority over-sampling technique. Journal of Artificial Intelligence Research, 16, 321-357.</w:t>
      </w:r>
    </w:p>
    <w:p>
      <w:pPr>
        <w:pStyle w:val="ListParagraph"/>
        <w:spacing w:after="80"/>
        <w:ind w:left="576" w:hanging="576"/>
      </w:pPr>
      <w:r>
        <w:rPr>
          <w:sz w:val="20"/>
        </w:rPr>
        <w:t>Ibrahim, A. K., Kelly, S. J., Adams, C. E., &amp; Glazebrook, C. (2013). A systematic review of studies of depression prevalence in university students. Journal of Psychiatric Research, 47(3), 391-400.</w:t>
      </w:r>
    </w:p>
    <w:p>
      <w:pPr>
        <w:pStyle w:val="ListParagraph"/>
        <w:spacing w:after="80"/>
        <w:ind w:left="576" w:hanging="576"/>
      </w:pPr>
      <w:r>
        <w:rPr>
          <w:sz w:val="20"/>
        </w:rPr>
        <w:t>Lundberg, S. M., &amp; Lee, S.-I. (2017). A unified approach to interpreting model predictions. Advances in Neural Information Processing Systems, 30, 4765-4774.</w:t>
      </w:r>
    </w:p>
    <w:p>
      <w:pPr>
        <w:pStyle w:val="ListParagraph"/>
        <w:spacing w:after="80"/>
        <w:ind w:left="576" w:hanging="576"/>
      </w:pPr>
      <w:r>
        <w:rPr>
          <w:sz w:val="20"/>
        </w:rPr>
        <w:t>van Engelen, J. E., &amp; Hoos, H. H. (2020). A survey on semi-supervised learning. Machine Learning, 109(2), 373-440.</w:t>
      </w:r>
    </w:p>
    <w:p>
      <w:pPr>
        <w:pStyle w:val="ListParagraph"/>
        <w:spacing w:after="80"/>
        <w:ind w:left="576" w:hanging="576"/>
      </w:pPr>
      <w:r>
        <w:rPr>
          <w:sz w:val="20"/>
        </w:rPr>
        <w:t>Wirth, R., &amp; Hipp, J. (2000). CRISP-DM: Towards a standard process model for data mining. Proceedings of the 4th International Conference on the Practical Applications of Knowledge Discovery and Data Mining (pp. 29-39).</w:t>
      </w:r>
    </w:p>
    <w:p>
      <w:pPr>
        <w:pStyle w:val="ListParagraph"/>
        <w:spacing w:after="80"/>
        <w:ind w:left="576" w:hanging="576"/>
      </w:pPr>
      <w:r>
        <w:rPr>
          <w:sz w:val="20"/>
        </w:rPr>
        <w:t>Zhu, X. (2005). Semi-supervised learning literature survey (Technical Report 1530). University of Wisconsin-Madison, Computer Sciences.</w:t>
      </w:r>
    </w:p>
    <w:sectPr w:rsidR="00FC693F" w:rsidRPr="0006063C" w:rsidSect="00034616">
      <w:pgSz w:w="12240" w:h="15840"/>
      <w:pgMar w:top="1440" w:right="1656" w:bottom="1440" w:left="165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