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60" w:before="160"/>
        <w:jc w:val="center"/>
      </w:pPr>
      <w:r>
        <w:rPr>
          <w:rFonts w:ascii="Arial" w:cs="Arial" w:eastAsia="Arial" w:hAnsi="Arial"/>
          <w:b/>
          <w:bCs/>
          <w:color w:val="6B6455"/>
          <w:sz w:val="17"/>
          <w:szCs w:val="17"/>
        </w:rPr>
        <w:t xml:space="preserve">PRIVILEGED &amp; CONFIDENTIAL · PREPARED FOR THE INVESTMENT COMMITTEE</w:t>
      </w:r>
    </w:p>
    <w:p>
      <w:pPr>
        <w:spacing w:after="80"/>
        <w:jc w:val="center"/>
      </w:pPr>
      <w:r>
        <w:rPr>
          <w:rFonts w:ascii="Georgia" w:cs="Georgia" w:eastAsia="Georgia" w:hAnsi="Georgia"/>
          <w:b/>
          <w:bCs/>
          <w:color w:val="3E6B49"/>
          <w:sz w:val="80"/>
          <w:szCs w:val="80"/>
        </w:rPr>
        <w:t xml:space="preserve">BUY</w:t>
      </w:r>
    </w:p>
    <w:p>
      <w:pPr>
        <w:spacing w:after="240"/>
        <w:jc w:val="center"/>
      </w:pPr>
      <w:r>
        <w:rPr>
          <w:rFonts w:ascii="Arial" w:cs="Arial" w:eastAsia="Arial" w:hAnsi="Arial"/>
          <w:color w:val="514B40"/>
          <w:sz w:val="23"/>
          <w:szCs w:val="23"/>
        </w:rPr>
        <w:t xml:space="preserve">Target price SAR 14.36  ·  +12.3% vs SAR 12.79 close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Target price (12m, DCF-anchored)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 (+12.3% vs SAR 12.79 close)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Base-case IRR (4-year hold)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17.1%</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Scenario-weighted return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 vs 15.0% benchmark</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Quantified risk score</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Compliance screen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Valuation basis</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 DCF, cross-checked against trading comps</w:t>
            </w:r>
          </w:p>
        </w:tc>
      </w:tr>
    </w:tbl>
    <w:p>
      <w:pPr>
        <w:spacing w:after="200" w:before="260"/>
        <w:jc w:val="center"/>
      </w:pPr>
      <w:r>
        <w:rPr>
          <w:rFonts w:ascii="Arial" w:cs="Arial" w:eastAsia="Arial" w:hAnsi="Arial"/>
          <w:color w:val="6B6455"/>
          <w:sz w:val="17"/>
          <w:szCs w:val="17"/>
        </w:rPr>
        <w:t xml:space="preserve">Contents: Executive Summary &amp; Recommendation · Investment Thesis · Company &amp; Industry · Financial Analysis · Valuation · Quantified Risk Assessment · Compliance Screen · Catalysts &amp;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Benchmark</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Compliance</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Compliance Screen tabs),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+12.3% implied upside, for a base-case 4-year IRR of 17.1%, comfortably inside the scenario-weighted expected return of 16.8% against Lunar's 15.0% benchmark. The thesis rests on Jahez's transition from a single-platform KSA delivery app into a diversified quick-commerce and logistics group: FY2025 GMV of SAR 7,245.2m (+10.8% YoY) and net revenue of SAR 2,323.6m (+4.7% YoY) were delivered against a headline profit contraction,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the closest disclosed proxy for contribution margin per order, fell to 22.8% from 24.4%, both consistent with a business absorbing competitive intensity rather than one in structural decline. The compliance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the Logistics segment reached SAR 428.8m of FY2025 net revenue. Group orders grew 5.3% YoY to 111.6m, and GMV 10.8% to SAR 7,245.2m,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impairments and deal costs, not operating deterioration, and Q1-2026 adjusted EBITDA of SAR 43.6m shows the operating engine still generating positive cash profit through the net-loss quarter. The scenario-weighted return of 16.8% already prices in the risk that margin recovery slips, and it still clears the 15.0% benchmark.</w:t>
      </w:r>
    </w:p>
    <w:p>
      <w:pPr>
        <w:spacing w:after="90" w:before="220"/>
      </w:pPr>
      <w:r>
        <w:rPr>
          <w:rFonts w:ascii="Arial" w:cs="Arial" w:eastAsia="Arial" w:hAnsi="Arial"/>
          <w:b/>
          <w:bCs/>
          <w:color w:val="514B40"/>
          <w:sz w:val="24"/>
          <w:szCs w:val="24"/>
        </w:rPr>
        <w:t xml:space="preserve">3. A Compliance-compliant,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interest-bearing debt at 6.01% of market cap and cash at 19.03%, both inside the 33% threshold,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Rabbit, the Ninja unicorn, and Dingdong,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GMV compounded from SAR 5,100.0m to SAR 6,541.9m to SAR 7,245.2m. Take rate (commission revenue / GMV) rose from 13.5% to 14.6% to 15.4%, lifting commission revenue to SAR 1,113.8m even as net revenue growth decelerated to +4.7%,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a ~300 bps contraction,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+12.3% above the SAR 12.79 close. Trading-comps triangulation (EV/Revenue, EV/EBITDA and P/E across Talabat, DoorDash and Delivery Hero,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the 16.8% probability-weighted expected return clears Lunar's 15.0% benchmark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the same dynamic already visible in the 300 bps FY2025A EBITDA-margin contraction and the SAR 9.2m Q1-2026A net loss,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benchmark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benchmark in isolation,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benchmark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benchmark</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Compliance Screen</w:t>
      </w:r>
    </w:p>
    <w:p>
      <w:pPr>
        <w:spacing w:after="160" w:line="264"/>
        <w:jc w:val="both"/>
      </w:pPr>
      <w:r>
        <w:rPr>
          <w:rFonts w:ascii="Arial" w:cs="Arial" w:eastAsia="Arial" w:hAnsi="Arial"/>
          <w:color w:val="2A2620"/>
          <w:sz w:val="21"/>
          <w:szCs w:val="21"/>
        </w:rPr>
        <w:t xml:space="preserve">Jahez passes Lunar's AAOIFI/Tadawul-methodology compliance screen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33% AAOIFI leverage/liquidity threshold. Including IFRS-16 lease liabilities (SAR 332.9m) in the stricter memo view still passes at 18.41%. Non-eligible income is not separately disclosed in the filings; per AAOIFI practice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2026-07-16T14:48:04.337Z</dcterms:created>
  <dcterms:modified xsi:type="dcterms:W3CDTF">2026-07-16T14:48:04.337Z</dcterms:modified>
</cp:coreProperties>
</file>

<file path=docProps/custom.xml><?xml version="1.0" encoding="utf-8"?>
<Properties xmlns="http://schemas.openxmlformats.org/officeDocument/2006/custom-properties" xmlns:vt="http://schemas.openxmlformats.org/officeDocument/2006/docPropsVTypes"/>
</file>