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</w:p>
    <w:p>
      <w:pPr>
        <w:shd w:fill="2A2620" w:color="auto" w:val="clear"/>
        <w:spacing w:after="240" w:before="180"/>
        <w:ind w:left="431"/>
      </w:pPr>
      <w:r>
        <w:rPr>
          <w:rFonts w:ascii="Georgia" w:cs="Georgia" w:eastAsia="Georgia" w:hAnsi="Georgia"/>
          <w:b/>
          <w:bCs/>
          <w:i w:val="false"/>
          <w:iCs w:val="false"/>
          <w:color w:val="F5F1E6"/>
          <w:sz w:val="60"/>
          <w:szCs w:val="60"/>
        </w:rPr>
        <w:t xml:space="preserve">LUNAR INVESTMENTS</w:t>
      </w:r>
    </w:p>
    <w:p>
      <w:pPr>
        <w:shd w:fill="2A2620" w:color="auto" w:val="clear"/>
        <w:spacing w:after="108" w:before="78"/>
        <w:ind w:left="431"/>
      </w:pPr>
      <w:r>
        <w:rPr>
          <w:rFonts w:ascii="Georgia" w:cs="Georgia" w:eastAsia="Georgia" w:hAnsi="Georgia"/>
          <w:b/>
          <w:bCs/>
          <w:i/>
          <w:iCs/>
          <w:color w:val="B08D2A"/>
          <w:sz w:val="26"/>
          <w:szCs w:val="26"/>
        </w:rPr>
        <w:t xml:space="preserve">Private Growth Equity, Deal Screening</w:t>
      </w:r>
    </w:p>
    <w:p>
      <w:pPr>
        <w:shd w:fill="2A2620" w:color="auto" w:val="clear"/>
        <w:spacing w:after="298" w:before="78"/>
        <w:ind w:left="431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F5F1E6"/>
          <w:sz w:val="26"/>
          <w:szCs w:val="26"/>
        </w:rPr>
        <w:t xml:space="preserve">Darb Logistics Technology: Screening Memorandum for the Investment Committee</w:t>
      </w:r>
    </w:p>
    <w:p>
      <w:pPr>
        <w:spacing w:after="260" w:before="160"/>
        <w:jc w:val="center"/>
      </w:pPr>
      <w:r>
        <w:rPr>
          <w:rFonts w:ascii="Arial" w:cs="Arial" w:eastAsia="Arial" w:hAnsi="Arial"/>
          <w:b/>
          <w:bCs/>
          <w:color w:val="6B6455"/>
          <w:sz w:val="17"/>
          <w:szCs w:val="17"/>
        </w:rPr>
        <w:t xml:space="preserve">PRIVILEGED &amp; CONFIDENTIAL · PREPARED FOR THE INVESTMENT COMMITTEE</w:t>
      </w:r>
    </w:p>
    <w:p>
      <w:pPr>
        <w:spacing w:after="80"/>
        <w:jc w:val="center"/>
      </w:pPr>
      <w:r>
        <w:rPr>
          <w:rFonts w:ascii="Georgia" w:cs="Georgia" w:eastAsia="Georgia" w:hAnsi="Georgia"/>
          <w:b/>
          <w:bCs/>
          <w:color w:val="3E6B49"/>
          <w:sz w:val="56"/>
          <w:szCs w:val="56"/>
        </w:rPr>
        <w:t xml:space="preserve">ADVANCE TO PITCH MEETING</w:t>
      </w:r>
    </w:p>
    <w:p>
      <w:pPr>
        <w:spacing w:after="240"/>
        <w:jc w:val="center"/>
      </w:pPr>
      <w:r>
        <w:rPr>
          <w:rFonts w:ascii="Arial" w:cs="Arial" w:eastAsia="Arial" w:hAnsi="Arial"/>
          <w:color w:val="514B40"/>
          <w:sz w:val="23"/>
          <w:szCs w:val="23"/>
        </w:rPr>
        <w:t xml:space="preserve">Series B · SAR 40M ask · Logistics SaaS · Riyadh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Round / ask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· SAR 40M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Sector / headquarters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· Riyadh, Saudi Arabia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ARR (company-reported, unaudited)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 FY2025A · SAR 29.5m FY2026E guided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Net revenue retention (FY2025A)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Screening result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 criteria pass · 1 concentration warning (IC acknowledgement required)</w:t>
            </w:r>
          </w:p>
        </w:tc>
      </w:tr>
      <w:tr>
        <w:tc>
          <w:tcPr>
            <w:tcW w:type="pct" w:w="4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58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200" w:before="260"/>
        <w:jc w:val="center"/>
      </w:pPr>
      <w:r>
        <w:rPr>
          <w:rFonts w:ascii="Arial" w:cs="Arial" w:eastAsia="Arial" w:hAnsi="Arial"/>
          <w:color w:val="6B6455"/>
          <w:sz w:val="17"/>
          <w:szCs w:val="17"/>
        </w:rPr>
        <w:t xml:space="preserve">Contents: Purpose and Recommendation · Company at a Glance · Product and Market · Financial Summary · Use of Proceeds · Founding Team · Mandate Screening vs the IC Charter · Risks and Open Diligence Items · Sources</w:t>
      </w:r>
    </w:p>
    <w:p>
      <w:pPr>
        <w:pBdr>
          <w:top w:val="single" w:color="B08D2A" w:sz="6"/>
          <w:bottom w:val="single" w:color="B08D2A" w:sz="6"/>
        </w:pBdr>
        <w:spacing w:after="200" w:before="200"/>
        <w:jc w:val="center"/>
      </w:pPr>
      <w:r>
        <w:rPr>
          <w:rFonts w:ascii="Arial" w:cs="Arial" w:eastAsia="Arial" w:hAnsi="Arial"/>
          <w:i/>
          <w:iCs/>
          <w:color w:val="6B6455"/>
          <w:sz w:val="20"/>
          <w:szCs w:val="20"/>
        </w:rPr>
        <w:t xml:space="preserve">A screening recommendation only, the investment decision rests with the Investment Committee.</w:t>
      </w:r>
    </w:p>
    <w:p>
      <w:pPr>
        <w:spacing w:before="320"/>
        <w:jc w:val="center"/>
      </w:pPr>
      <w:r>
        <w:rPr>
          <w:rFonts w:ascii="Arial" w:cs="Arial" w:eastAsia="Arial" w:hAnsi="Arial"/>
          <w:color w:val="6B6455"/>
          <w:sz w:val="19"/>
          <w:szCs w:val="19"/>
        </w:rPr>
        <w:t xml:space="preserve">Prepared by Faheem for Lunar Investments · 15 July 2026</w:t>
      </w:r>
    </w:p>
    <w:p>
      <w:pPr>
        <w:pageBreakBefore/>
      </w:pP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Purpose and Recommendation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This memorandum summarizes the initial mandate screening of Darb Logistics Technology, an inbound Series B opportunity, against the Lunar Investments IC Charter. It is a screening-stage document: it establishes whether the opportunity clears the firm's baseline mandate criteria, not a full investment recommendation.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Screening recommendation: advance Darb to a pitch meeting. Five of six criteria pass outright; the sixth, sector concentration, is flagged rather than failed. The Charter treats a post-deal concentration breach as requiring explicit Investment Committee acknowledgement before the deal may advance further, not as an automatic decline, this acknowledgement is a required step, not a formality to be assumed.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Company at a Glance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Attribute</w:t>
            </w:r>
          </w:p>
        </w:tc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Round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Series B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Headquarters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Riyadh, Kingdom of Saudi Arabia</w:t>
            </w:r>
          </w:p>
        </w:tc>
      </w:tr>
      <w:tr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Founded</w:t>
            </w:r>
          </w:p>
        </w:tc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2022</w:t>
            </w:r>
          </w:p>
        </w:tc>
      </w:tr>
      <w:tr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Source of introduction</w:t>
            </w:r>
          </w:p>
        </w:tc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Inbound, founder outreach via Lunar's private growth-equity desk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p.1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Product and Market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Darb builds fleet- and route-optimization software for last-mile and middle-mile logistics operators in the Kingdom. The platform sits between shippers and carrier fleets, providing route planning, real-time tracking, proof-of-delivery, and carrier-performance analytics through a single dashboard and API layer. The product is deployed as subscription SaaS layered on the customer's existing fleet, avoiding the asset-heavy economics of an owned-fleet delivery business.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Product surface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Route Optimization Engine, dynamic routing across driver fleets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Fleet Ops Dashboard, live tracking, proof-of-delivery, exception management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Carrier API, integration layer for third-party carrier networks and quick-commerce platforms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Analytics Suite, delivery SLA, cost-per-order, and carrier-performance reporting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Market backdrop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frames the opportunity against rapid growth in Saudi e-commerce and quick-commerce delivery volumes, and the broader push toward logistics-sector digitization under Vision 2030's transport and logistics pillar. This is management's framing of the opportunity, presented here as a judgment to be tested in diligence, not an independently verified market estimate.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p.2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Financial Summary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figures below are Darb's own reporting, unaudited, as shared at the screening stage. Full audited or reviewed financial statements for FY2023-FY2025 sit in the data room under NDA and are a required diligence item before any ticket is issued.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Metric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FY2025A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FY2026E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Annual Recurring Revenue (ARR)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18.2m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29.5m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YoY ARR growth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62%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Gross margin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68%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71%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Net revenue retention (NRR)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118%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124%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Logo count (active customers)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34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pct" w:w="4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Monthly cash burn (avg.)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1.4m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</w:tr>
      <w:tr>
        <w:tc>
          <w:tcPr>
            <w:tcW w:type="pct" w:w="4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Cash runway at close (post-round)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–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~24 months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p.3. Company-reported and unaudited at screening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Use of Proceeds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Management indicates the SAR 40M Series B is earmarked roughly 55% for go-to-market expansion (enterprise sales, quick-commerce partnerships), 30% for product and engineering headcount, and 15% for working capital and runway extension.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p.3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Founding Team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Faisal Al-Otaibi, Co-founder &amp; CEO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Former operations lead at a Riyadh-based quick-commerce platform, where he built the last-mile dispatch system that Darb's routing engine is descended from. Industrial engineering background, King Saud University.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Nourah Al-Harbi, Co-founder &amp; CTO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Previously a senior backend engineer on a regional ride-hailing platform's logistics team. Led Darb's API and carrier-integration architecture from day one. Computer science background, KFUPM.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Khalid Al-Dossari, Co-founder &amp; Head of Revenue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Ten years in enterprise SaaS sales across the GCC prior to Darb, most recently running mid-market sales for a regional fleet-management vendor. Owns Darb's enterprise and quick-commerce partnership pipeline.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p.4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Mandate Screening vs the IC Charter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Screening Agent checked Darb against every Charter criterion that applies to a private growth-equity opportunity. Five criteria pass outright; sector concentration is flagged, not failed, per the Charter's own escalation rule.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Criterion</w:t>
            </w:r>
          </w:p>
        </w:tc>
        <w:tc>
          <w:tcPr>
            <w:tcW w:type="pct" w:w="12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Verdict</w:t>
            </w:r>
          </w:p>
        </w:tc>
        <w:tc>
          <w:tcPr>
            <w:tcW w:type="pct" w:w="66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Sector mandate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Logistics SaaS falls within the Technology &amp; Consumer mandate.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Ticket vs mandate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SAR 40M ask sits within the SAR 20-60M ticket band.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Stage fit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Series B falls within the mandated Series A-C stage window.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Compliance pre-screen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Business activity eligible; no leverage red flags at pre-screen.</w:t>
            </w:r>
          </w:p>
        </w:tc>
      </w:tr>
      <w:tr>
        <w:tc>
          <w:tcPr>
            <w:tcW w:type="pct" w:w="2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Concentration</w:t>
            </w:r>
          </w:p>
        </w:tc>
        <w:tc>
          <w:tcPr>
            <w:tcW w:type="pct" w:w="12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WARN</w:t>
            </w:r>
          </w:p>
        </w:tc>
        <w:tc>
          <w:tcPr>
            <w:tcW w:type="pct" w:w="66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Technology &amp; Consumer sector exposure at 8.5% of AUM; a SAR 40M ticket (2.0% of AUM) would bring post-deal sector exposure to 10.5%, above the 10% cap.</w:t>
            </w:r>
          </w:p>
        </w:tc>
      </w:tr>
      <w:tr>
        <w:tc>
          <w:tcPr>
            <w:tcW w:type="pct" w:w="2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Red flags</w:t>
            </w:r>
          </w:p>
        </w:tc>
        <w:tc>
          <w:tcPr>
            <w:tcW w:type="pct" w:w="12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PASS</w:t>
            </w:r>
          </w:p>
        </w:tc>
        <w:tc>
          <w:tcPr>
            <w:tcW w:type="pct" w:w="66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No sanctions, conflicts-of-interest, or related-party issues identified.</w:t>
            </w:r>
          </w:p>
        </w:tc>
      </w:tr>
    </w:tbl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IC Charter &amp; Investment Mandate, p.3; Source: Lunar IC Charter &amp; Investment Mandate, p.4; Source: Lunar IC Charter &amp; Investment Mandate, p.5.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Concentration detail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The Technology &amp; Consumer sector bucket currently sits at 8.5% of firm AUM. A SAR 40M ticket represents a further 2.0% of AUM, bringing post-deal sector exposure to 10.5%, above the Charter's 10% sector concentration cap. Per the Charter, this does not automatically fail the screen, but it requires explicit IC acknowledgement of the mandate breach before the deal may advance.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Lunar Current Portfolio Snapshot, p.1; Source: Lunar IC Charter &amp; Investment Mandate, p.4.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color w:val="514B40"/>
          <w:sz w:val="24"/>
          <w:szCs w:val="24"/>
        </w:rPr>
        <w:t xml:space="preserve">Red flags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No sanctions, conflicts-of-interest, or related-party issues were identified at the pre-screen stage.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Risks and Open Diligence Items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All financial figures in this memo are company-reported and unaudited, full audited/reviewed statements for FY2023-FY2025 are pending under NDA.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Customer concentration is unknown until the full data room (customer contracts and cohort-level retention) is reviewed, the segment split shared at screening is anonymized.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Net revenue retention durability at 118-124% has not been independently tested against cohort-level churn data.</w:t>
      </w:r>
    </w:p>
    <w:p>
      <w:pPr>
        <w:pStyle w:val="ListParagraph"/>
        <w:numPr>
          <w:ilvl w:val="0"/>
          <w:numId w:val="1"/>
        </w:numPr>
        <w:spacing w:after="80" w:line="250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Competitive response from in-house dispatch tooling built by large logistics operators and quick-commerce platforms is management's stated primary competitive risk, not yet independently assessed.</w:t>
      </w:r>
    </w:p>
    <w:p>
      <w:pPr>
        <w:spacing w:after="200" w:before="40"/>
      </w:pPr>
      <w:r>
        <w:rPr>
          <w:rFonts w:ascii="Arial" w:cs="Arial" w:eastAsia="Arial" w:hAnsi="Arial"/>
          <w:i/>
          <w:iCs/>
          <w:color w:val="6B6455"/>
          <w:sz w:val="17"/>
          <w:szCs w:val="17"/>
        </w:rPr>
        <w:t xml:space="preserve">Source: Darb Data Room · Screening Summary, p.6</w:t>
      </w:r>
    </w:p>
    <w:p>
      <w:pPr>
        <w:pStyle w:val="Heading1"/>
        <w:pBdr>
          <w:bottom w:val="single" w:color="B08D2A" w:sz="10"/>
        </w:pBdr>
        <w:spacing w:after="140" w:before="420"/>
      </w:pPr>
      <w:r>
        <w:rPr>
          <w:rFonts w:ascii="Georgia" w:cs="Georgia" w:eastAsia="Georgia" w:hAnsi="Georgia"/>
          <w:b/>
          <w:bCs/>
          <w:color w:val="2A2620"/>
          <w:sz w:val="32"/>
          <w:szCs w:val="32"/>
        </w:rPr>
        <w:t xml:space="preserve">Appendix: Sources</w:t>
      </w:r>
    </w:p>
    <w:p>
      <w:pPr>
        <w:spacing w:after="160" w:line="264"/>
        <w:jc w:val="both"/>
      </w:pPr>
      <w:r>
        <w:rPr>
          <w:rFonts w:ascii="Arial" w:cs="Arial" w:eastAsia="Arial" w:hAnsi="Arial"/>
          <w:color w:val="2A2620"/>
          <w:sz w:val="21"/>
          <w:szCs w:val="21"/>
        </w:rPr>
        <w:t xml:space="preserve">Every source document actually cited in this memo, with the pages the cited figures or facts came from.</w:t>
      </w:r>
    </w:p>
    <w:tbl>
      <w:tblPr>
        <w:tblW w:type="pct" w:w="100%"/>
        <w:tblBorders>
          <w:top w:val="single" w:color="B7AF9C" w:sz="4"/>
          <w:left w:val="single" w:color="B7AF9C" w:sz="4"/>
          <w:bottom w:val="single" w:color="B7AF9C" w:sz="4"/>
          <w:right w:val="single" w:color="B7AF9C" w:sz="4"/>
          <w:insideH w:val="single" w:color="D8D2C4" w:sz="4"/>
          <w:insideV w:val="single" w:color="D8D2C4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7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Document</w:t>
            </w:r>
          </w:p>
        </w:tc>
        <w:tc>
          <w:tcPr>
            <w:tcW w:type="pct" w:w="30%"/>
            <w:shd w:fill="2A262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5F1E6"/>
                <w:sz w:val="19"/>
                <w:szCs w:val="19"/>
              </w:rPr>
              <w:t xml:space="preserve">Pages cited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Darb Data Room · Screening Summary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p.1, p.2, p.3, p.4</w:t>
            </w:r>
          </w:p>
        </w:tc>
      </w:tr>
      <w:tr>
        <w:tc>
          <w:tcPr>
            <w:tcW w:type="pct" w:w="7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Current Portfolio Snapshot</w:t>
            </w:r>
          </w:p>
        </w:tc>
        <w:tc>
          <w:tcPr>
            <w:tcW w:type="pct" w:w="30%"/>
            <w:shd w:fill="FBF9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p.1</w:t>
            </w:r>
          </w:p>
        </w:tc>
      </w:tr>
      <w:tr>
        <w:tc>
          <w:tcPr>
            <w:tcW w:type="pct" w:w="7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Lunar IC Charter &amp; Investment Mandate</w:t>
            </w:r>
          </w:p>
        </w:tc>
        <w:tc>
          <w:tcPr>
            <w:tcW w:type="pct" w:w="30%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A2620"/>
                <w:sz w:val="19"/>
                <w:szCs w:val="19"/>
              </w:rPr>
              <w:t xml:space="preserve">p.3, p.4, p.5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8" w:h="16833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4" w:sz="4"/>
      </w:pBdr>
      <w:spacing w:before="60"/>
    </w:pPr>
    <w:r>
      <w:rPr>
        <w:rFonts w:ascii="Arial" w:cs="Arial" w:eastAsia="Arial" w:hAnsi="Arial"/>
        <w:i/>
        <w:iCs/>
        <w:color w:val="6B6455"/>
        <w:sz w:val="16"/>
        <w:szCs w:val="16"/>
      </w:rPr>
      <w:t xml:space="preserve">Prepared by Faheem for Lunar Investments, Advisory only. Not investment advice.</w:t>
    </w:r>
  </w:p>
  <w:p>
    <w:pPr>
      <w:jc w:val="right"/>
    </w:pPr>
    <w:r>
      <w:rPr>
        <w:rFonts w:ascii="Arial" w:cs="Arial" w:eastAsia="Arial" w:hAnsi="Arial"/>
        <w:color w:val="6B6455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08D2A" w:sz="6"/>
      </w:pBdr>
      <w:tabs>
        <w:tab w:val="right" w:pos="9360"/>
      </w:tabs>
      <w:spacing w:after="60"/>
    </w:pPr>
    <w:r>
      <w:rPr>
        <w:rFonts w:ascii="Arial" w:cs="Arial" w:eastAsia="Arial" w:hAnsi="Arial"/>
        <w:b/>
        <w:bCs/>
        <w:color w:val="514B40"/>
        <w:sz w:val="17"/>
        <w:szCs w:val="17"/>
      </w:rPr>
      <w:t xml:space="preserve">LUNAR INVESTMENTS</w:t>
    </w:r>
    <w:r>
      <w:rPr>
        <w:rFonts w:ascii="Arial" w:cs="Arial" w:eastAsia="Arial" w:hAnsi="Arial"/>
        <w:i/>
        <w:iCs/>
        <w:color w:val="6B6455"/>
        <w:sz w:val="17"/>
        <w:szCs w:val="17"/>
      </w:rPr>
      <w:t xml:space="preserve">	Screening Memorandum, Darb Logistics Technology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Darb Logistics Technology, Screening Memorandum</dc:title>
  <dc:subject>Darb Logistics Technology, Series B screening</dc:subject>
  <dc:creator>Faheem</dc:creator>
  <dc:description>Lunar Investments screening memo, advisory only, generated by Faheem</dc:description>
  <cp:lastModifiedBy>Un-named</cp:lastModifiedBy>
  <cp:revision>1</cp:revision>
  <dcterms:created xsi:type="dcterms:W3CDTF">2026-07-16T12:40:28.647Z</dcterms:created>
  <dcterms:modified xsi:type="dcterms:W3CDTF">2026-07-16T12:40:28.647Z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