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Investment Committee Memorandum</w:t>
      </w:r>
    </w:p>
    <w:p>
      <w:pPr>
        <w:spacing w:after="400"/>
        <w:jc w:val="center"/>
      </w:pPr>
      <w:r>
        <w:t xml:space="preserve">{{companyName}} — prepared for {{firmName}} — {{date}}</w:t>
      </w:r>
    </w:p>
    <w:p>
      <w:pPr>
        <w:pStyle w:val="Heading1"/>
      </w:pPr>
      <w:r>
        <w:t xml:space="preserve">Recommendation</w:t>
      </w:r>
    </w:p>
    <w:p>
      <w:pPr>
        <w:spacing w:after="200"/>
      </w:pPr>
      <w:r>
        <w:t xml:space="preserve">Recommendation: {{recommendation}} — target price {{perShare}} versus a {{currentPrice}} current price ({{upside}} implied upside). Base-case IRR {{irr}}; weighted return {{weightedReturn}} against a {{hurdle}} hurdle.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{{execSummary}}</w:t>
      </w:r>
    </w:p>
    <w:p>
      <w:pPr>
        <w:pStyle w:val="Heading1"/>
      </w:pPr>
      <w:r>
        <w:t xml:space="preserve">Investment Thesis</w:t>
      </w:r>
    </w:p>
    <w:p>
      <w:pPr>
        <w:spacing w:after="200"/>
      </w:pPr>
      <w:r>
        <w:t xml:space="preserve">{{thesisPillar1}}</w:t>
      </w:r>
    </w:p>
    <w:p>
      <w:pPr>
        <w:spacing w:after="200"/>
      </w:pPr>
      <w:r>
        <w:t xml:space="preserve">{{thesisPillar2}}</w:t>
      </w:r>
    </w:p>
    <w:p>
      <w:pPr>
        <w:spacing w:after="200"/>
      </w:pPr>
      <w:r>
        <w:t xml:space="preserve">{{thesisPillar3}}</w:t>
      </w:r>
    </w:p>
    <w:p>
      <w:pPr>
        <w:pStyle w:val="Heading1"/>
      </w:pPr>
      <w:r>
        <w:t xml:space="preserve">Scenario Analysis</w:t>
      </w:r>
    </w:p>
    <w:p>
      <w:pPr>
        <w:spacing w:after="200"/>
      </w:pPr>
      <w:r>
        <w:t xml:space="preserve">Bull case: {{bullPerShare}} per share ({{bullProbability}} probability, {{bullIrr}} IRR). Bear case: {{bearPerShare}} per share ({{bearProbability}} probability, {{bearIrr}} IRR).</w:t>
      </w:r>
    </w:p>
    <w:p>
      <w:pPr>
        <w:pStyle w:val="Heading1"/>
      </w:pPr>
      <w:r>
        <w:t xml:space="preserve">Valuation &amp; Cost of Capital</w:t>
      </w:r>
    </w:p>
    <w:p>
      <w:pPr>
        <w:spacing w:after="200"/>
      </w:pPr>
      <w:r>
        <w:t xml:space="preserve">WACC {{wacc}}, cost of equity {{costOfEquity}}, terminal growth {{terminalGrowth}}. Comparable-set median {{compsMedian}} per share.</w:t>
      </w:r>
    </w:p>
    <w:p>
      <w:pPr>
        <w:pStyle w:val="Heading1"/>
      </w:pPr>
      <w:r>
        <w:t xml:space="preserve">Shariah &amp; Risk Screen</w:t>
      </w:r>
    </w:p>
    <w:p>
      <w:pPr>
        <w:spacing w:after="200"/>
      </w:pPr>
      <w:r>
        <w:t xml:space="preserve">Shariah screen: {{shariahVerdict}}. Debt ratio {{debtRatio}}, cash ratio {{cashRatio}}. Composite risk score {{riskScore}}.</w:t>
      </w:r>
    </w:p>
    <w:p>
      <w:pPr>
        <w:pStyle w:val="Heading1"/>
      </w:pPr>
      <w:r>
        <w:t xml:space="preserve">Key Risks</w:t>
      </w:r>
    </w:p>
    <w:p>
      <w:pPr>
        <w:spacing w:after="200"/>
      </w:pPr>
      <w:r>
        <w:t xml:space="preserve">{{keyRisks}}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2026-07-16T07:58:47.317Z</dcterms:created>
  <dcterms:modified xsi:type="dcterms:W3CDTF">2026-07-16T07:58:47.318Z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