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</w:p>
    <w:p>
      <w:pPr>
        <w:shd w:fill="2A2620" w:color="auto" w:val="clear"/>
        <w:spacing w:after="240" w:before="180"/>
        <w:ind w:left="431"/>
      </w:pPr>
      <w:r>
        <w:rPr>
          <w:rFonts w:ascii="Georgia" w:cs="Georgia" w:eastAsia="Georgia" w:hAnsi="Georgia"/>
          <w:b/>
          <w:bCs/>
          <w:i w:val="false"/>
          <w:iCs w:val="false"/>
          <w:color w:val="F5F1E6"/>
          <w:sz w:val="60"/>
          <w:szCs w:val="60"/>
        </w:rPr>
        <w:t xml:space="preserve">LUNAR INVESTMENTS</w:t>
      </w:r>
    </w:p>
    <w:p>
      <w:pPr>
        <w:shd w:fill="2A2620" w:color="auto" w:val="clear"/>
        <w:spacing w:after="108" w:before="78"/>
        <w:ind w:left="431"/>
      </w:pPr>
      <w:r>
        <w:rPr>
          <w:rFonts w:ascii="Georgia" w:cs="Georgia" w:eastAsia="Georgia" w:hAnsi="Georgia"/>
          <w:b/>
          <w:bCs/>
          <w:i/>
          <w:iCs/>
          <w:color w:val="B08D2A"/>
          <w:sz w:val="26"/>
          <w:szCs w:val="26"/>
        </w:rPr>
        <w:t xml:space="preserve">Private Growth Equity, Deal Screening</w:t>
      </w:r>
    </w:p>
    <w:p>
      <w:pPr>
        <w:shd w:fill="2A2620" w:color="auto" w:val="clear"/>
        <w:spacing w:after="298" w:before="78"/>
        <w:ind w:left="431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F5F1E6"/>
          <w:sz w:val="26"/>
          <w:szCs w:val="26"/>
        </w:rPr>
        <w:t xml:space="preserve">Darb Logistics Technology: Screening Memorandum for the Investment Committee</w:t>
      </w:r>
    </w:p>
    <w:p>
      <w:pPr>
        <w:spacing w:after="260" w:before="160"/>
        <w:jc w:val="center"/>
      </w:pPr>
      <w:r>
        <w:rPr>
          <w:rFonts w:ascii="Arial" w:cs="Arial" w:eastAsia="Arial" w:hAnsi="Arial"/>
          <w:b/>
          <w:bCs/>
          <w:color w:val="6B6455"/>
          <w:sz w:val="17"/>
          <w:szCs w:val="17"/>
        </w:rPr>
        <w:t xml:space="preserve">PRIVILEGED &amp; CONFIDENTIAL · PREPARED FOR THE INVESTMENT COMMITTEE</w:t>
      </w:r>
    </w:p>
    <w:p>
      <w:pPr>
        <w:spacing w:after="80"/>
        <w:jc w:val="center"/>
      </w:pPr>
      <w:r>
        <w:rPr>
          <w:rFonts w:ascii="Georgia" w:cs="Georgia" w:eastAsia="Georgia" w:hAnsi="Georgia"/>
          <w:b/>
          <w:bCs/>
          <w:color w:val="3E6B49"/>
          <w:sz w:val="56"/>
          <w:szCs w:val="56"/>
        </w:rPr>
        <w:t xml:space="preserve">ADVANCE TO PITCH MEETING</w:t>
      </w:r>
    </w:p>
    <w:p>
      <w:pPr>
        <w:spacing w:after="240"/>
        <w:jc w:val="center"/>
      </w:pPr>
      <w:r>
        <w:rPr>
          <w:rFonts w:ascii="Arial" w:cs="Arial" w:eastAsia="Arial" w:hAnsi="Arial"/>
          <w:color w:val="514B40"/>
          <w:sz w:val="23"/>
          <w:szCs w:val="23"/>
        </w:rPr>
        <w:t xml:space="preserve">Series B · SAR 40M ask · Logistics SaaS · Riyadh</w:t>
      </w:r>
    </w:p>
    <w:tbl>
      <w:tblPr>
        <w:tblW w:type="pct" w:w="100%"/>
        <w:tblBorders>
          <w:top w:val="single" w:color="B7AF9C" w:sz="4"/>
          <w:left w:val="single" w:color="B7AF9C" w:sz="4"/>
          <w:bottom w:val="single" w:color="B7AF9C" w:sz="4"/>
          <w:right w:val="single" w:color="B7AF9C" w:sz="4"/>
          <w:insideH w:val="single" w:color="D8D2C4" w:sz="4"/>
          <w:insideV w:val="single" w:color="D8D2C4" w:sz="4"/>
        </w:tblBorders>
      </w:tblPr>
      <w:tblGrid>
        <w:gridCol w:w="100"/>
        <w:gridCol w:w="100"/>
      </w:tblGrid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Round / ask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Series B · SAR 40M</w:t>
            </w:r>
          </w:p>
        </w:tc>
      </w:tr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Sector / headquarters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Logistics SaaS · Riyadh, Saudi Arabia</w:t>
            </w:r>
          </w:p>
        </w:tc>
      </w:tr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ARR (company-reported, unaudited)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18.2m FY2025A · SAR 29.5m FY2026E guided</w:t>
            </w:r>
          </w:p>
        </w:tc>
      </w:tr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Net revenue retention (FY2025A)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118%</w:t>
            </w:r>
          </w:p>
        </w:tc>
      </w:tr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Screening result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5 criteria pass · 1 concentration warning (IC acknowledgement required)</w:t>
            </w:r>
          </w:p>
        </w:tc>
      </w:tr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Compliance pre-screen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</w:tr>
    </w:tbl>
    <w:p>
      <w:pPr>
        <w:spacing w:after="200" w:before="260"/>
        <w:jc w:val="center"/>
      </w:pPr>
      <w:r>
        <w:rPr>
          <w:rFonts w:ascii="Arial" w:cs="Arial" w:eastAsia="Arial" w:hAnsi="Arial"/>
          <w:color w:val="6B6455"/>
          <w:sz w:val="17"/>
          <w:szCs w:val="17"/>
        </w:rPr>
        <w:t xml:space="preserve">Contents: Purpose and Recommendation · Company at a Glance · Product and Market · Financial Summary · Use of Proceeds · Founding Team · Screening Assessment: Strengths and Concerns · Mandate Screening vs the IC Charter · Risks and Open Diligence Items · Sources</w:t>
      </w:r>
    </w:p>
    <w:p>
      <w:pPr>
        <w:pBdr>
          <w:top w:val="single" w:color="B08D2A" w:sz="6"/>
          <w:bottom w:val="single" w:color="B08D2A" w:sz="6"/>
        </w:pBdr>
        <w:spacing w:after="200" w:before="200"/>
        <w:jc w:val="center"/>
      </w:pPr>
      <w:r>
        <w:rPr>
          <w:rFonts w:ascii="Arial" w:cs="Arial" w:eastAsia="Arial" w:hAnsi="Arial"/>
          <w:i/>
          <w:iCs/>
          <w:color w:val="6B6455"/>
          <w:sz w:val="20"/>
          <w:szCs w:val="20"/>
        </w:rPr>
        <w:t xml:space="preserve">A screening recommendation only, the investment decision rests with the Investment Committee.</w:t>
      </w:r>
    </w:p>
    <w:p>
      <w:pPr>
        <w:spacing w:before="320"/>
        <w:jc w:val="center"/>
      </w:pPr>
      <w:r>
        <w:rPr>
          <w:rFonts w:ascii="Arial" w:cs="Arial" w:eastAsia="Arial" w:hAnsi="Arial"/>
          <w:color w:val="6B6455"/>
          <w:sz w:val="19"/>
          <w:szCs w:val="19"/>
        </w:rPr>
        <w:t xml:space="preserve">Prepared by Faheem for Lunar Investments · 15 July 2026</w:t>
      </w:r>
    </w:p>
    <w:p>
      <w:pPr>
        <w:pageBreakBefore/>
      </w:pP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Purpose and Recommendation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This memorandum summarizes the initial mandate screening of Darb Logistics Technology, an inbound Series B opportunity, against the Lunar Investments IC Charter. It is a screening-stage document: it establishes whether the opportunity clears the firm's baseline mandate criteria, not a full investment recommendation.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Screening recommendation: advance Darb to a pitch meeting. Five of six criteria pass outright; the sixth, sector concentration, is flagged rather than failed. The Charter treats a post-deal concentration breach as requiring explicit Investment Committee acknowledgement before the deal may advance further, not as an automatic decline, this acknowledgement is a required step, not a formality to be assumed.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Screening summary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Darb Logistics Technology is a Riyadh-based logistics SaaS company founded in 2022, raising a SAR 40M Series B. The opportunity arrived inbound via founder outreach to Lunar's private growth-equity desk.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Company-reported ARR of SAR 18.2m in FY2025A, with SAR 29.5m guided for FY2026E (+62% YoY). All figures are unaudited at the screening stage.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Net revenue retention of 118% (FY2025A) against a guided 124% (FY2026E); gross margin of 68% rising to a guided 71%; 34 active logos growing to a guided 52.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Average monthly cash burn of SAR 1.4m; management projects ~24 months of runway post-round.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Indicated use of proceeds: 55% go-to-market expansion, 30% product and engineering, 15% working capital and runway.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Mandate screening result: five of six Charter criteria pass; sector concentration is flagged and requires explicit Investment Committee acknowledgement before the deal advances.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p.1; Source: Darb Data Room · Screening Summary, p.3. Company-reported and unaudited at screening stage.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Company at a Glance</w:t>
      </w:r>
    </w:p>
    <w:tbl>
      <w:tblPr>
        <w:tblW w:type="pct" w:w="100%"/>
        <w:tblBorders>
          <w:top w:val="single" w:color="B7AF9C" w:sz="4"/>
          <w:left w:val="single" w:color="B7AF9C" w:sz="4"/>
          <w:bottom w:val="single" w:color="B7AF9C" w:sz="4"/>
          <w:right w:val="single" w:color="B7AF9C" w:sz="4"/>
          <w:insideH w:val="single" w:color="D8D2C4" w:sz="4"/>
          <w:insideV w:val="single" w:color="D8D2C4" w:sz="4"/>
        </w:tblBorders>
      </w:tblPr>
      <w:tblGrid>
        <w:gridCol w:w="2709"/>
        <w:gridCol w:w="6320"/>
      </w:tblGrid>
      <w:tr>
        <w:trPr>
          <w:tblHeader/>
        </w:trPr>
        <w:tc>
          <w:tcPr>
            <w:tcW w:type="pct" w:w="3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Attribute</w:t>
            </w:r>
          </w:p>
        </w:tc>
        <w:tc>
          <w:tcPr>
            <w:tcW w:type="pct" w:w="7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Round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40M Series B</w:t>
            </w:r>
          </w:p>
        </w:tc>
      </w:tr>
      <w:tr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Sector</w:t>
            </w:r>
          </w:p>
        </w:tc>
        <w:tc>
          <w:tcPr>
            <w:tcW w:type="pct" w:w="7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Logistics SaaS</w:t>
            </w:r>
          </w:p>
        </w:tc>
      </w:tr>
      <w:t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Headquarters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Riyadh, Kingdom of Saudi Arabia</w:t>
            </w:r>
          </w:p>
        </w:tc>
      </w:tr>
      <w:tr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Founded</w:t>
            </w:r>
          </w:p>
        </w:tc>
        <w:tc>
          <w:tcPr>
            <w:tcW w:type="pct" w:w="7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2022</w:t>
            </w:r>
          </w:p>
        </w:tc>
      </w:tr>
      <w:t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Source of introduction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Inbound, founder outreach via Lunar's private growth-equity desk</w:t>
            </w:r>
          </w:p>
        </w:tc>
      </w:tr>
    </w:tbl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p.1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Product and Market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Darb builds fleet- and route-optimization software for last-mile and middle-mile logistics operators in the Kingdom. The platform sits between shippers and carrier fleets, providing route planning, real-time tracking, proof-of-delivery, and carrier-performance analytics through a single dashboard and API layer. The product is deployed as subscription SaaS layered on the customer's existing fleet, avoiding the asset-heavy economics of an owned-fleet delivery business.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Product surface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Route Optimization Engine, dynamic routing across driver fleets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Fleet Ops Dashboard, live tracking, proof-of-delivery, exception management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Carrier API, integration layer for third-party carrier networks and quick-commerce platforms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Analytics Suite, delivery SLA, cost-per-order, and carrier-performance reporting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Market backdrop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Management frames the opportunity against rapid growth in Saudi e-commerce and quick-commerce delivery volumes, and the broader push toward logistics-sector digitization under Vision 2030's transport and logistics pillar. This is management's framing of the opportunity, presented here as a judgment to be tested in diligence, not an independently verified market estimate.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p.2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Financial Summary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The figures below are Darb's own reporting, unaudited, as shared at the screening stage. Full audited or reviewed financial statements for FY2023-FY2025 sit in the data room under NDA and are a required diligence item before any ticket is issued.</w:t>
      </w:r>
    </w:p>
    <w:tbl>
      <w:tblPr>
        <w:tblW w:type="pct" w:w="100%"/>
        <w:tblBorders>
          <w:top w:val="single" w:color="B7AF9C" w:sz="4"/>
          <w:left w:val="single" w:color="B7AF9C" w:sz="4"/>
          <w:bottom w:val="single" w:color="B7AF9C" w:sz="4"/>
          <w:right w:val="single" w:color="B7AF9C" w:sz="4"/>
          <w:insideH w:val="single" w:color="D8D2C4" w:sz="4"/>
          <w:insideV w:val="single" w:color="D8D2C4" w:sz="4"/>
        </w:tblBorders>
      </w:tblPr>
      <w:tblGrid>
        <w:gridCol w:w="3612"/>
        <w:gridCol w:w="2709"/>
        <w:gridCol w:w="2709"/>
      </w:tblGrid>
      <w:tr>
        <w:trPr>
          <w:tblHeader/>
        </w:trPr>
        <w:tc>
          <w:tcPr>
            <w:tcW w:type="pct" w:w="4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Metric</w:t>
            </w:r>
          </w:p>
        </w:tc>
        <w:tc>
          <w:tcPr>
            <w:tcW w:type="pct" w:w="3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FY2025A</w:t>
            </w:r>
          </w:p>
        </w:tc>
        <w:tc>
          <w:tcPr>
            <w:tcW w:type="pct" w:w="3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FY2026E</w:t>
            </w:r>
          </w:p>
        </w:tc>
      </w:tr>
      <w:tr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Annual Recurring Revenue (ARR)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18.2m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29.5m</w:t>
            </w:r>
          </w:p>
        </w:tc>
      </w:tr>
      <w:tr>
        <w:tc>
          <w:tcPr>
            <w:tcW w:type="pct" w:w="4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YoY ARR growth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–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62%</w:t>
            </w:r>
          </w:p>
        </w:tc>
      </w:tr>
      <w:tr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Gross margin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68%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71%</w:t>
            </w:r>
          </w:p>
        </w:tc>
      </w:tr>
      <w:tr>
        <w:tc>
          <w:tcPr>
            <w:tcW w:type="pct" w:w="4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Net revenue retention (NRR)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118%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124%</w:t>
            </w:r>
          </w:p>
        </w:tc>
      </w:tr>
      <w:tr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Logo count (active customers)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34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52</w:t>
            </w:r>
          </w:p>
        </w:tc>
      </w:tr>
      <w:tr>
        <w:tc>
          <w:tcPr>
            <w:tcW w:type="pct" w:w="4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Monthly cash burn (avg.)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1.4m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–</w:t>
            </w:r>
          </w:p>
        </w:tc>
      </w:tr>
      <w:tr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Cash runway at close (post-round)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–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~24 months</w:t>
            </w:r>
          </w:p>
        </w:tc>
      </w:tr>
    </w:tbl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p.3. Company-reported and unaudited at screening stage.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Use of Proceeds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Management indicates the SAR 40M Series B is earmarked roughly 55% for go-to-market expansion (enterprise sales, quick-commerce partnerships), 30% for product and engineering headcount, and 15% for working capital and runway extension.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p.3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Founding Team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Faisal Al-Otaibi, Co-founder &amp; CEO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Former operations lead at a Riyadh-based quick-commerce platform, where he built the last-mile dispatch system that Darb's routing engine is descended from. Industrial engineering background, King Saud University.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Nourah Al-Harbi, Co-founder &amp; CTO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Previously a senior backend engineer on a regional ride-hailing platform's logistics team. Led Darb's API and carrier-integration architecture from day one. Computer science background, KFUPM.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Khalid Al-Dossari, Co-founder &amp; Head of Revenue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Ten years in enterprise SaaS sales across the GCC prior to Darb, most recently running mid-market sales for a regional fleet-management vendor. Owns Darb's enterprise and quick-commerce partnership pipeline.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p.4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Screening Assessment: Strengths &amp; Concerns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Key strengths (screening-stage view)</w:t>
      </w:r>
    </w:p>
    <w:p>
      <w:pPr>
        <w:pStyle w:val="ListParagraph"/>
        <w:numPr>
          <w:ilvl w:val="0"/>
          <w:numId w:val="1"/>
        </w:numPr>
        <w:spacing w:after="100" w:line="250"/>
      </w:pPr>
      <w:r>
        <w:rPr>
          <w:rFonts w:ascii="Arial" w:cs="Arial" w:eastAsia="Arial" w:hAnsi="Arial"/>
          <w:b/>
          <w:bCs/>
          <w:color w:val="2A2620"/>
          <w:sz w:val="21"/>
          <w:szCs w:val="21"/>
        </w:rPr>
        <w:t xml:space="preserve">Growth with retention: </w:t>
      </w:r>
      <w:r>
        <w:rPr>
          <w:rFonts w:ascii="Arial" w:cs="Arial" w:eastAsia="Arial" w:hAnsi="Arial"/>
          <w:color w:val="2A2620"/>
          <w:sz w:val="21"/>
          <w:szCs w:val="21"/>
        </w:rPr>
        <w:t xml:space="preserve">guided ARR growth of 62% arrives alongside net revenue retention of 118% to 124%, indicating expansion within the existing customer base rather than purely new-logo acquisition. Company-reported, to be verified against cohort data.</w:t>
      </w:r>
    </w:p>
    <w:p>
      <w:pPr>
        <w:pStyle w:val="ListParagraph"/>
        <w:numPr>
          <w:ilvl w:val="0"/>
          <w:numId w:val="1"/>
        </w:numPr>
        <w:spacing w:after="100" w:line="250"/>
      </w:pPr>
      <w:r>
        <w:rPr>
          <w:rFonts w:ascii="Arial" w:cs="Arial" w:eastAsia="Arial" w:hAnsi="Arial"/>
          <w:b/>
          <w:bCs/>
          <w:color w:val="2A2620"/>
          <w:sz w:val="21"/>
          <w:szCs w:val="21"/>
        </w:rPr>
        <w:t xml:space="preserve">Software margin profile: </w:t>
      </w:r>
      <w:r>
        <w:rPr>
          <w:rFonts w:ascii="Arial" w:cs="Arial" w:eastAsia="Arial" w:hAnsi="Arial"/>
          <w:color w:val="2A2620"/>
          <w:sz w:val="21"/>
          <w:szCs w:val="21"/>
        </w:rPr>
        <w:t xml:space="preserve">gross margin of 68% rising to a guided 71% is consistent with subscription software economics rather than asset-heavy logistics operation.</w:t>
      </w:r>
    </w:p>
    <w:p>
      <w:pPr>
        <w:pStyle w:val="ListParagraph"/>
        <w:numPr>
          <w:ilvl w:val="0"/>
          <w:numId w:val="1"/>
        </w:numPr>
        <w:spacing w:after="100" w:line="250"/>
      </w:pPr>
      <w:r>
        <w:rPr>
          <w:rFonts w:ascii="Arial" w:cs="Arial" w:eastAsia="Arial" w:hAnsi="Arial"/>
          <w:b/>
          <w:bCs/>
          <w:color w:val="2A2620"/>
          <w:sz w:val="21"/>
          <w:szCs w:val="21"/>
        </w:rPr>
        <w:t xml:space="preserve">Asset-light model in a policy-backed sector: </w:t>
      </w:r>
      <w:r>
        <w:rPr>
          <w:rFonts w:ascii="Arial" w:cs="Arial" w:eastAsia="Arial" w:hAnsi="Arial"/>
          <w:color w:val="2A2620"/>
          <w:sz w:val="21"/>
          <w:szCs w:val="21"/>
        </w:rPr>
        <w:t xml:space="preserve">the platform layers on the customer's existing fleet, avoiding owned-fleet capital intensity, and management frames demand against logistics-sector digitization under Vision 2030's transport pillar. The framing is management's and is a diligence item, not an independently verified market estimate.</w:t>
      </w:r>
    </w:p>
    <w:p>
      <w:pPr>
        <w:pStyle w:val="ListParagraph"/>
        <w:numPr>
          <w:ilvl w:val="0"/>
          <w:numId w:val="1"/>
        </w:numPr>
        <w:spacing w:after="100" w:line="250"/>
      </w:pPr>
      <w:r>
        <w:rPr>
          <w:rFonts w:ascii="Arial" w:cs="Arial" w:eastAsia="Arial" w:hAnsi="Arial"/>
          <w:b/>
          <w:bCs/>
          <w:color w:val="2A2620"/>
          <w:sz w:val="21"/>
          <w:szCs w:val="21"/>
        </w:rPr>
        <w:t xml:space="preserve">Domain-matched founding team: </w:t>
      </w:r>
      <w:r>
        <w:rPr>
          <w:rFonts w:ascii="Arial" w:cs="Arial" w:eastAsia="Arial" w:hAnsi="Arial"/>
          <w:color w:val="2A2620"/>
          <w:sz w:val="21"/>
          <w:szCs w:val="21"/>
        </w:rPr>
        <w:t xml:space="preserve">the three co-founders cover last-mile dispatch operations, logistics platform engineering, and GCC enterprise SaaS sales respectively, the three functions this business model depends on.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Key concerns (screening-stage view)</w:t>
      </w:r>
    </w:p>
    <w:p>
      <w:pPr>
        <w:pStyle w:val="ListParagraph"/>
        <w:numPr>
          <w:ilvl w:val="0"/>
          <w:numId w:val="1"/>
        </w:numPr>
        <w:spacing w:after="100" w:line="250"/>
      </w:pPr>
      <w:r>
        <w:rPr>
          <w:rFonts w:ascii="Arial" w:cs="Arial" w:eastAsia="Arial" w:hAnsi="Arial"/>
          <w:b/>
          <w:bCs/>
          <w:color w:val="2A2620"/>
          <w:sz w:val="21"/>
          <w:szCs w:val="21"/>
        </w:rPr>
        <w:t xml:space="preserve">Unaudited financials: </w:t>
      </w:r>
      <w:r>
        <w:rPr>
          <w:rFonts w:ascii="Arial" w:cs="Arial" w:eastAsia="Arial" w:hAnsi="Arial"/>
          <w:color w:val="2A2620"/>
          <w:sz w:val="21"/>
          <w:szCs w:val="21"/>
        </w:rPr>
        <w:t xml:space="preserve">every figure in this memo is company-reported; audited or reviewed FY2023-FY2025 statements are a required diligence item before any ticket is issued.</w:t>
      </w:r>
    </w:p>
    <w:p>
      <w:pPr>
        <w:pStyle w:val="ListParagraph"/>
        <w:numPr>
          <w:ilvl w:val="0"/>
          <w:numId w:val="1"/>
        </w:numPr>
        <w:spacing w:after="100" w:line="250"/>
      </w:pPr>
      <w:r>
        <w:rPr>
          <w:rFonts w:ascii="Arial" w:cs="Arial" w:eastAsia="Arial" w:hAnsi="Arial"/>
          <w:b/>
          <w:bCs/>
          <w:color w:val="2A2620"/>
          <w:sz w:val="21"/>
          <w:szCs w:val="21"/>
        </w:rPr>
        <w:t xml:space="preserve">Sector concentration breach: </w:t>
      </w:r>
      <w:r>
        <w:rPr>
          <w:rFonts w:ascii="Arial" w:cs="Arial" w:eastAsia="Arial" w:hAnsi="Arial"/>
          <w:color w:val="2A2620"/>
          <w:sz w:val="21"/>
          <w:szCs w:val="21"/>
        </w:rPr>
        <w:t xml:space="preserve">a SAR 40M ticket takes post-deal Technology &amp; Consumer exposure to 10.5% of firm AUM, above the Charter's 10% cap; the Charter requires explicit IC acknowledgement, recorded in the minutes, before the deal advances.</w:t>
      </w:r>
    </w:p>
    <w:p>
      <w:pPr>
        <w:pStyle w:val="ListParagraph"/>
        <w:numPr>
          <w:ilvl w:val="0"/>
          <w:numId w:val="1"/>
        </w:numPr>
        <w:spacing w:after="100" w:line="250"/>
      </w:pPr>
      <w:r>
        <w:rPr>
          <w:rFonts w:ascii="Arial" w:cs="Arial" w:eastAsia="Arial" w:hAnsi="Arial"/>
          <w:b/>
          <w:bCs/>
          <w:color w:val="2A2620"/>
          <w:sz w:val="21"/>
          <w:szCs w:val="21"/>
        </w:rPr>
        <w:t xml:space="preserve">Unknown customer concentration: </w:t>
      </w:r>
      <w:r>
        <w:rPr>
          <w:rFonts w:ascii="Arial" w:cs="Arial" w:eastAsia="Arial" w:hAnsi="Arial"/>
          <w:color w:val="2A2620"/>
          <w:sz w:val="21"/>
          <w:szCs w:val="21"/>
        </w:rPr>
        <w:t xml:space="preserve">the revenue split shared at screening is anonymized; concentration cannot be assessed until customer contracts and cohort-level retention are reviewed in the full data room.</w:t>
      </w:r>
    </w:p>
    <w:p>
      <w:pPr>
        <w:pStyle w:val="ListParagraph"/>
        <w:numPr>
          <w:ilvl w:val="0"/>
          <w:numId w:val="1"/>
        </w:numPr>
        <w:spacing w:after="100" w:line="250"/>
      </w:pPr>
      <w:r>
        <w:rPr>
          <w:rFonts w:ascii="Arial" w:cs="Arial" w:eastAsia="Arial" w:hAnsi="Arial"/>
          <w:b/>
          <w:bCs/>
          <w:color w:val="2A2620"/>
          <w:sz w:val="21"/>
          <w:szCs w:val="21"/>
        </w:rPr>
        <w:t xml:space="preserve">Retention durability untested: </w:t>
      </w:r>
      <w:r>
        <w:rPr>
          <w:rFonts w:ascii="Arial" w:cs="Arial" w:eastAsia="Arial" w:hAnsi="Arial"/>
          <w:color w:val="2A2620"/>
          <w:sz w:val="21"/>
          <w:szCs w:val="21"/>
        </w:rPr>
        <w:t xml:space="preserve">net revenue retention of 118% to 124% has not been independently tested against cohort-level churn.</w:t>
      </w:r>
    </w:p>
    <w:p>
      <w:pPr>
        <w:pStyle w:val="ListParagraph"/>
        <w:numPr>
          <w:ilvl w:val="0"/>
          <w:numId w:val="1"/>
        </w:numPr>
        <w:spacing w:after="100" w:line="250"/>
      </w:pPr>
      <w:r>
        <w:rPr>
          <w:rFonts w:ascii="Arial" w:cs="Arial" w:eastAsia="Arial" w:hAnsi="Arial"/>
          <w:b/>
          <w:bCs/>
          <w:color w:val="2A2620"/>
          <w:sz w:val="21"/>
          <w:szCs w:val="21"/>
        </w:rPr>
        <w:t xml:space="preserve">Competitive response: </w:t>
      </w:r>
      <w:r>
        <w:rPr>
          <w:rFonts w:ascii="Arial" w:cs="Arial" w:eastAsia="Arial" w:hAnsi="Arial"/>
          <w:color w:val="2A2620"/>
          <w:sz w:val="21"/>
          <w:szCs w:val="21"/>
        </w:rPr>
        <w:t xml:space="preserve">in-house dispatch tooling built by large logistics operators and quick-commerce platforms is management's stated primary competitive risk and has not yet been independently assessed.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p.3; Source: Lunar Current Portfolio Snapshot, p.1; Source: Lunar IC Charter &amp; Investment Mandate, p.4. Qualitative judgments are the analyst's and are labeled as such.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Mandate Screening vs the IC Charter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The Screening Agent checked Darb against every Charter criterion that applies to a private growth-equity opportunity. Five criteria pass outright; sector concentration is flagged, not failed, per the Charter's own escalation rule.</w:t>
      </w:r>
    </w:p>
    <w:tbl>
      <w:tblPr>
        <w:tblW w:type="pct" w:w="100%"/>
        <w:tblBorders>
          <w:top w:val="single" w:color="B7AF9C" w:sz="4"/>
          <w:left w:val="single" w:color="B7AF9C" w:sz="4"/>
          <w:bottom w:val="single" w:color="B7AF9C" w:sz="4"/>
          <w:right w:val="single" w:color="B7AF9C" w:sz="4"/>
          <w:insideH w:val="single" w:color="D8D2C4" w:sz="4"/>
          <w:insideV w:val="single" w:color="D8D2C4" w:sz="4"/>
        </w:tblBorders>
      </w:tblPr>
      <w:tblGrid>
        <w:gridCol w:w="1986"/>
        <w:gridCol w:w="1083"/>
        <w:gridCol w:w="5959"/>
      </w:tblGrid>
      <w:tr>
        <w:trPr>
          <w:tblHeader/>
        </w:trPr>
        <w:tc>
          <w:tcPr>
            <w:tcW w:type="pct" w:w="22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Criterion</w:t>
            </w:r>
          </w:p>
        </w:tc>
        <w:tc>
          <w:tcPr>
            <w:tcW w:type="pct" w:w="12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Verdict</w:t>
            </w:r>
          </w:p>
        </w:tc>
        <w:tc>
          <w:tcPr>
            <w:tcW w:type="pct" w:w="66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Sector mandate</w:t>
            </w:r>
          </w:p>
        </w:tc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Logistics SaaS falls within the Technology &amp; Consumer mandate.</w:t>
            </w:r>
          </w:p>
        </w:tc>
      </w:tr>
      <w:tr>
        <w:tc>
          <w:tcPr>
            <w:tcW w:type="pct" w:w="2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Ticket vs mandate</w:t>
            </w:r>
          </w:p>
        </w:tc>
        <w:tc>
          <w:tcPr>
            <w:tcW w:type="pct" w:w="1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40M ask sits within the SAR 20-60M ticket band.</w:t>
            </w:r>
          </w:p>
        </w:tc>
      </w:tr>
      <w:tr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Stage fit</w:t>
            </w:r>
          </w:p>
        </w:tc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Series B falls within the mandated Series A-C stage window.</w:t>
            </w:r>
          </w:p>
        </w:tc>
      </w:tr>
      <w:tr>
        <w:tc>
          <w:tcPr>
            <w:tcW w:type="pct" w:w="2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Compliance pre-screen</w:t>
            </w:r>
          </w:p>
        </w:tc>
        <w:tc>
          <w:tcPr>
            <w:tcW w:type="pct" w:w="1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Business activity eligible; no leverage red flags at pre-screen.</w:t>
            </w:r>
          </w:p>
        </w:tc>
      </w:tr>
      <w:tr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Concentration</w:t>
            </w:r>
          </w:p>
        </w:tc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WARN</w:t>
            </w:r>
          </w:p>
        </w:tc>
        <w:tc>
          <w:tcPr>
            <w:tcW w:type="pct" w:w="6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Technology &amp; Consumer sector exposure at 8.5% of AUM; a SAR 40M ticket (2.0% of AUM) would bring post-deal sector exposure to 10.5%, above the 10% cap.</w:t>
            </w:r>
          </w:p>
        </w:tc>
      </w:tr>
      <w:tr>
        <w:tc>
          <w:tcPr>
            <w:tcW w:type="pct" w:w="2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Red flags</w:t>
            </w:r>
          </w:p>
        </w:tc>
        <w:tc>
          <w:tcPr>
            <w:tcW w:type="pct" w:w="1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No sanctions, conflicts-of-interest, or related-party issues identified.</w:t>
            </w:r>
          </w:p>
        </w:tc>
      </w:tr>
    </w:tbl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Lunar IC Charter &amp; Investment Mandate, p.3; Source: Lunar IC Charter &amp; Investment Mandate, p.4; Source: Lunar IC Charter &amp; Investment Mandate, p.5.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Concentration detail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The Technology &amp; Consumer sector bucket currently sits at 8.5% of firm AUM. A SAR 40M ticket represents a further 2.0% of AUM, bringing post-deal sector exposure to 10.5%, above the Charter's 10% sector concentration cap. Per the Charter, this does not automatically fail the screen, but it requires explicit IC acknowledgement of the mandate breach before the deal may advance.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Lunar Current Portfolio Snapshot, p.1; Source: Lunar IC Charter &amp; Investment Mandate, p.4.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Red flags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No sanctions, conflicts-of-interest, or related-party issues were identified at the pre-screen stage.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Risks and Open Diligence Items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All financial figures in this memo are company-reported and unaudited, full audited/reviewed statements for FY2023-FY2025 are pending under NDA.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Customer concentration is unknown until the full data room (customer contracts and cohort-level retention) is reviewed, the segment split shared at screening is anonymized.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Net revenue retention durability at 118-124% has not been independently tested against cohort-level churn data.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Competitive response from in-house dispatch tooling built by large logistics operators and quick-commerce platforms is management's stated primary competitive risk, not yet independently assessed.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p.6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Appendix: Sources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Every source document actually cited in this memo, with the pages the cited figures or facts came from.</w:t>
      </w:r>
    </w:p>
    <w:tbl>
      <w:tblPr>
        <w:tblW w:type="pct" w:w="100%"/>
        <w:tblBorders>
          <w:top w:val="single" w:color="B7AF9C" w:sz="4"/>
          <w:left w:val="single" w:color="B7AF9C" w:sz="4"/>
          <w:bottom w:val="single" w:color="B7AF9C" w:sz="4"/>
          <w:right w:val="single" w:color="B7AF9C" w:sz="4"/>
          <w:insideH w:val="single" w:color="D8D2C4" w:sz="4"/>
          <w:insideV w:val="single" w:color="D8D2C4" w:sz="4"/>
        </w:tblBorders>
      </w:tblPr>
      <w:tblGrid>
        <w:gridCol w:w="6320"/>
        <w:gridCol w:w="2709"/>
      </w:tblGrid>
      <w:tr>
        <w:trPr>
          <w:tblHeader/>
        </w:trPr>
        <w:tc>
          <w:tcPr>
            <w:tcW w:type="pct" w:w="7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Document</w:t>
            </w:r>
          </w:p>
        </w:tc>
        <w:tc>
          <w:tcPr>
            <w:tcW w:type="pct" w:w="3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Pages cited</w:t>
            </w:r>
          </w:p>
        </w:tc>
      </w:tr>
      <w:tr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Darb Data Room · Screening Summary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p.1, p.2, p.3, p.4</w:t>
            </w:r>
          </w:p>
        </w:tc>
      </w:tr>
      <w:tr>
        <w:tc>
          <w:tcPr>
            <w:tcW w:type="pct" w:w="7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Lunar Current Portfolio Snapshot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p.1</w:t>
            </w:r>
          </w:p>
        </w:tc>
      </w:tr>
      <w:tr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Lunar IC Charter &amp; Investment Mandate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p.3, p.4, p.5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8" w:h="16833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4" w:sz="4"/>
      </w:pBdr>
      <w:spacing w:before="60"/>
    </w:pPr>
    <w:r>
      <w:rPr>
        <w:rFonts w:ascii="Arial" w:cs="Arial" w:eastAsia="Arial" w:hAnsi="Arial"/>
        <w:i/>
        <w:iCs/>
        <w:color w:val="6B6455"/>
        <w:sz w:val="16"/>
        <w:szCs w:val="16"/>
      </w:rPr>
      <w:t xml:space="preserve">Prepared by Faheem for Lunar Investments, Advisory only. Not investment advice.</w:t>
    </w:r>
  </w:p>
  <w:p>
    <w:pPr>
      <w:jc w:val="right"/>
    </w:pPr>
    <w:r>
      <w:rPr>
        <w:rFonts w:ascii="Arial" w:cs="Arial" w:eastAsia="Arial" w:hAnsi="Arial"/>
        <w:color w:val="6B6455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08D2A" w:sz="6"/>
      </w:pBdr>
      <w:tabs>
        <w:tab w:val="right" w:pos="9360"/>
      </w:tabs>
      <w:spacing w:after="60"/>
    </w:pPr>
    <w:r>
      <w:rPr>
        <w:rFonts w:ascii="Arial" w:cs="Arial" w:eastAsia="Arial" w:hAnsi="Arial"/>
        <w:b/>
        <w:bCs/>
        <w:color w:val="514B40"/>
        <w:sz w:val="17"/>
        <w:szCs w:val="17"/>
      </w:rPr>
      <w:t xml:space="preserve">LUNAR INVESTMENTS</w:t>
    </w:r>
    <w:r>
      <w:rPr>
        <w:rFonts w:ascii="Arial" w:cs="Arial" w:eastAsia="Arial" w:hAnsi="Arial"/>
        <w:i/>
        <w:iCs/>
        <w:color w:val="6B6455"/>
        <w:sz w:val="17"/>
        <w:szCs w:val="17"/>
      </w:rPr>
      <w:t xml:space="preserve">	Screening Memorandum, Darb Logistics Technology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Darb Logistics Technology, Screening Memorandum</dc:title>
  <dc:subject>Darb Logistics Technology, Series B screening</dc:subject>
  <dc:creator>Faheem</dc:creator>
  <dc:description>Lunar Investments screening memo, advisory only, generated by Faheem</dc:description>
  <cp:lastModifiedBy>Un-named</cp:lastModifiedBy>
  <cp:revision>1</cp:revision>
  <dcterms:created xsi:type="dcterms:W3CDTF">2026-07-16T23:07:44.211Z</dcterms:created>
  <dcterms:modified xsi:type="dcterms:W3CDTF">2026-07-16T23:07:44.211Z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