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60" w:before="160"/>
        <w:jc w:val="center"/>
      </w:pPr>
      <w:r>
        <w:rPr>
          <w:rFonts w:ascii="Arial" w:cs="Arial" w:eastAsia="Arial" w:hAnsi="Arial"/>
          <w:b/>
          <w:bCs/>
          <w:color w:val="6B6455"/>
          <w:sz w:val="17"/>
          <w:szCs w:val="17"/>
        </w:rPr>
        <w:t xml:space="preserve">PRIVILEGED &amp; CONFIDENTIAL · PREPARED FOR THE INVESTMENT COMMITTEE</w:t>
      </w:r>
    </w:p>
    <w:p>
      <w:pPr>
        <w:spacing w:after="80"/>
        <w:jc w:val="center"/>
      </w:pPr>
      <w:r>
        <w:rPr>
          <w:rFonts w:ascii="Georgia" w:cs="Georgia" w:eastAsia="Georgia" w:hAnsi="Georgia"/>
          <w:b/>
          <w:bCs/>
          <w:color w:val="3E6B49"/>
          <w:sz w:val="80"/>
          <w:szCs w:val="80"/>
        </w:rPr>
        <w:t xml:space="preserve">BUY</w:t>
      </w:r>
    </w:p>
    <w:p>
      <w:pPr>
        <w:spacing w:after="240"/>
        <w:jc w:val="center"/>
      </w:pPr>
      <w:r>
        <w:rPr>
          <w:rFonts w:ascii="Arial" w:cs="Arial" w:eastAsia="Arial" w:hAnsi="Arial"/>
          <w:color w:val="514B40"/>
          <w:sz w:val="23"/>
          <w:szCs w:val="23"/>
        </w:rPr>
        <w:t xml:space="preserve">Target price SAR 14.36  ·  +12.3% vs SAR 12.79 close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Target price (12m, DCF-anchored)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 (+12.3% vs SAR 12.79 close)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Base-case IRR (4-year hold)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17.1%</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Scenario-weighted return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 vs 15.0% mandate hurdle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Quantified risk score</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Compliance screen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Valuation basis</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 DCF, cross-checked against trading comps</w:t>
            </w:r>
          </w:p>
        </w:tc>
      </w:tr>
    </w:tbl>
    <w:p>
      <w:pPr>
        <w:spacing w:after="200" w:before="260"/>
        <w:jc w:val="center"/>
      </w:pPr>
      <w:r>
        <w:rPr>
          <w:rFonts w:ascii="Arial" w:cs="Arial" w:eastAsia="Arial" w:hAnsi="Arial"/>
          <w:color w:val="6B6455"/>
          <w:sz w:val="17"/>
          <w:szCs w:val="17"/>
        </w:rPr>
        <w:t xml:space="preserve">Contents: Executive Summary &amp; Recommendation · Investment Thesis · Key Strengths &amp; Key Concerns · Company &amp; Industry · Financial Analysis · Valuation · Quantified Risk Assessment · Compliance Screen · Catalysts &amp;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813"/>
        <w:gridCol w:w="1083"/>
        <w:gridCol w:w="1083"/>
        <w:gridCol w:w="903"/>
        <w:gridCol w:w="903"/>
        <w:gridCol w:w="993"/>
        <w:gridCol w:w="903"/>
        <w:gridCol w:w="993"/>
        <w:gridCol w:w="1354"/>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1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1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Compliance</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1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1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Compliance Screen tabs), see the workbook for the full formula chain.</w:t>
      </w:r>
    </w:p>
    <w:p>
      <w:pPr>
        <w:pStyle w:val="ListParagraph"/>
        <w:numPr>
          <w:ilvl w:val="0"/>
          <w:numId w:val="1"/>
        </w:numPr>
        <w:spacing w:after="80" w:line="250"/>
      </w:pPr>
      <w:r>
        <w:rPr>
          <w:rFonts w:ascii="Arial" w:cs="Arial" w:eastAsia="Arial" w:hAnsi="Arial"/>
          <w:color w:val="2A2620"/>
          <w:sz w:val="21"/>
          <w:szCs w:val="21"/>
        </w:rPr>
        <w:t xml:space="preserve">Jahez International Company (Tadawul: 6017) is a Saudi-listed quick-commerce and logistics group. Following the Q4-2025 consolidation of Snoonu, the group operates across KSA food delivery, non-KSA delivery, and last-mile logistics; the Logistics segment recorded SAR 428.8m of FY2025 net revenue.</w:t>
      </w:r>
    </w:p>
    <w:p>
      <w:pPr>
        <w:pStyle w:val="ListParagraph"/>
        <w:numPr>
          <w:ilvl w:val="0"/>
          <w:numId w:val="1"/>
        </w:numPr>
        <w:spacing w:after="80" w:line="250"/>
      </w:pPr>
      <w:r>
        <w:rPr>
          <w:rFonts w:ascii="Arial" w:cs="Arial" w:eastAsia="Arial" w:hAnsi="Arial"/>
          <w:color w:val="2A2620"/>
          <w:sz w:val="21"/>
          <w:szCs w:val="21"/>
        </w:rPr>
        <w:t xml:space="preserve">FY2025 GMV reached SAR 7,245.2m (+10.8% YoY) on 111.6m orders (+5.3% YoY). Net revenue grew to SAR 2,323.6m (+4.7% YoY) at a 15.4% take rate, up from 14.6% in FY2024A.</w:t>
      </w:r>
    </w:p>
    <w:p>
      <w:pPr>
        <w:pStyle w:val="ListParagraph"/>
        <w:numPr>
          <w:ilvl w:val="0"/>
          <w:numId w:val="1"/>
        </w:numPr>
        <w:spacing w:after="80" w:line="250"/>
      </w:pPr>
      <w:r>
        <w:rPr>
          <w:rFonts w:ascii="Arial" w:cs="Arial" w:eastAsia="Arial" w:hAnsi="Arial"/>
          <w:color w:val="2A2620"/>
          <w:sz w:val="21"/>
          <w:szCs w:val="21"/>
        </w:rPr>
        <w:t xml:space="preserve">Reported profitability contracted. Net income declined 61.2% YoY to SAR 73.0m, of which SAR 55.4m traces to identified Q4-2025 one-off items (Red Color impairment, Marn goodwill impairment, Others-segment expected credit losses, and Snoonu transaction costs). Q1-2026 recorded a SAR 9.2m net loss while adjusted EBITDA remained positive at SAR 43.6m.</w:t>
      </w:r>
    </w:p>
    <w:p>
      <w:pPr>
        <w:pStyle w:val="ListParagraph"/>
        <w:numPr>
          <w:ilvl w:val="0"/>
          <w:numId w:val="1"/>
        </w:numPr>
        <w:spacing w:after="80" w:line="250"/>
      </w:pPr>
      <w:r>
        <w:rPr>
          <w:rFonts w:ascii="Arial" w:cs="Arial" w:eastAsia="Arial" w:hAnsi="Arial"/>
          <w:color w:val="2A2620"/>
          <w:sz w:val="21"/>
          <w:szCs w:val="21"/>
        </w:rPr>
        <w:t xml:space="preserve">Adjusted EBITDA margin contracted approximately 300 bps to 8.3% (FY2024A: 11.3%); gross margin declined to 22.8% from 24.4%. Both movements are consistent with absorbed competitive pricing intensity in KSA delivery rather than structural demand weakness; the distinction is tested in the scenario analysis below.</w:t>
      </w:r>
    </w:p>
    <w:p>
      <w:pPr>
        <w:pStyle w:val="ListParagraph"/>
        <w:numPr>
          <w:ilvl w:val="0"/>
          <w:numId w:val="1"/>
        </w:numPr>
        <w:spacing w:after="80" w:line="250"/>
      </w:pPr>
      <w:r>
        <w:rPr>
          <w:rFonts w:ascii="Arial" w:cs="Arial" w:eastAsia="Arial" w:hAnsi="Arial"/>
          <w:color w:val="2A2620"/>
          <w:sz w:val="21"/>
          <w:szCs w:val="21"/>
        </w:rPr>
        <w:t xml:space="preserve">Faheem's valuation model rates the position BUY, with a DCF-anchored target price of SAR 14.36 per share against the SAR 12.79 close, implying +12.3% upside and a base-case four-year IRR of 17.1%.</w:t>
      </w:r>
    </w:p>
    <w:p>
      <w:pPr>
        <w:pStyle w:val="ListParagraph"/>
        <w:numPr>
          <w:ilvl w:val="0"/>
          <w:numId w:val="1"/>
        </w:numPr>
        <w:spacing w:after="80" w:line="250"/>
      </w:pPr>
      <w:r>
        <w:rPr>
          <w:rFonts w:ascii="Arial" w:cs="Arial" w:eastAsia="Arial" w:hAnsi="Arial"/>
          <w:color w:val="2A2620"/>
          <w:sz w:val="21"/>
          <w:szCs w:val="21"/>
        </w:rPr>
        <w:t xml:space="preserve">The DCF discounts firm free cash flow at a 13.3% WACC (13.7% cost of equity, 1.82x comparable-set beta) against 3.0% terminal growth. Trading-comparables triangulation across Talabat, DoorDash, and Delivery Hero spans SAR 5.81 to SAR 61.32 of implied value per share (median SAR 24.36).</w:t>
      </w:r>
    </w:p>
    <w:p>
      <w:pPr>
        <w:pStyle w:val="ListParagraph"/>
        <w:numPr>
          <w:ilvl w:val="0"/>
          <w:numId w:val="1"/>
        </w:numPr>
        <w:spacing w:after="80" w:line="250"/>
      </w:pPr>
      <w:r>
        <w:rPr>
          <w:rFonts w:ascii="Arial" w:cs="Arial" w:eastAsia="Arial" w:hAnsi="Arial"/>
          <w:color w:val="2A2620"/>
          <w:sz w:val="21"/>
          <w:szCs w:val="21"/>
        </w:rPr>
        <w:t xml:space="preserve">Scenario analysis weights bull, base, and bear cases at 25% / 50% / 25%, producing a probability-weighted value of SAR 14.50 per share and an expected return of 16.8% against Lunar's 15.0% mandate hurdle. The bear case returns 7.0% and does not clear the hurdle in isolation.</w:t>
      </w:r>
    </w:p>
    <w:p>
      <w:pPr>
        <w:pStyle w:val="ListParagraph"/>
        <w:numPr>
          <w:ilvl w:val="0"/>
          <w:numId w:val="1"/>
        </w:numPr>
        <w:spacing w:after="80" w:line="250"/>
      </w:pPr>
      <w:r>
        <w:rPr>
          <w:rFonts w:ascii="Arial" w:cs="Arial" w:eastAsia="Arial" w:hAnsi="Arial"/>
          <w:color w:val="2A2620"/>
          <w:sz w:val="21"/>
          <w:szCs w:val="21"/>
        </w:rPr>
        <w:t xml:space="preserve">The balance sheet carries SAR 16.6m of net cash. The AAOIFI-style compliance screen passes on both financial ratios: interest-bearing debt at 6.01% of market capitalisation and cash at 19.03%, each inside the 33.00% threshold.</w:t>
      </w:r>
    </w:p>
    <w:p>
      <w:pPr>
        <w:pStyle w:val="ListParagraph"/>
        <w:numPr>
          <w:ilvl w:val="0"/>
          <w:numId w:val="1"/>
        </w:numPr>
        <w:spacing w:after="80" w:line="250"/>
      </w:pPr>
      <w:r>
        <w:rPr>
          <w:rFonts w:ascii="Arial" w:cs="Arial" w:eastAsia="Arial" w:hAnsi="Arial"/>
          <w:color w:val="2A2620"/>
          <w:sz w:val="21"/>
          <w:szCs w:val="21"/>
        </w:rPr>
        <w:t xml:space="preserve">The composite quantified risk score is 5.5 out of 10; the dominant exposure is price-war margin compression. This memorandum is advisory only; the investment decision rests with the Investment Committee.</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the Logistics segment reached SAR 428.8m of FY2025 net revenue. Group orders grew 5.3% YoY to 111.6m, and GMV 10.8% to SAR 7,245.2m,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impairments and deal costs, not operating deterioration,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Compliance-compliant,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interest-bearing debt at 6.01% of market cap and cash at 19.03%, both inside the 33% threshold,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Key Strengths &amp; Key Concerns</w:t>
      </w:r>
    </w:p>
    <w:p>
      <w:pPr>
        <w:spacing w:after="90" w:before="220"/>
      </w:pPr>
      <w:r>
        <w:rPr>
          <w:rFonts w:ascii="Arial" w:cs="Arial" w:eastAsia="Arial" w:hAnsi="Arial"/>
          <w:b/>
          <w:bCs/>
          <w:color w:val="514B40"/>
          <w:sz w:val="24"/>
          <w:szCs w:val="24"/>
        </w:rPr>
        <w:t xml:space="preserve">Key strengths</w:t>
      </w:r>
    </w:p>
    <w:p>
      <w:pPr>
        <w:pStyle w:val="ListParagraph"/>
        <w:numPr>
          <w:ilvl w:val="0"/>
          <w:numId w:val="1"/>
        </w:numPr>
        <w:spacing w:after="100" w:line="250"/>
      </w:pPr>
      <w:r>
        <w:rPr>
          <w:rFonts w:ascii="Arial" w:cs="Arial" w:eastAsia="Arial" w:hAnsi="Arial"/>
          <w:b/>
          <w:bCs/>
          <w:color w:val="2A2620"/>
          <w:sz w:val="21"/>
          <w:szCs w:val="21"/>
        </w:rPr>
        <w:t xml:space="preserve">Diversification beyond single-vertical delivery: </w:t>
      </w:r>
      <w:r>
        <w:rPr>
          <w:rFonts w:ascii="Arial" w:cs="Arial" w:eastAsia="Arial" w:hAnsi="Arial"/>
          <w:color w:val="2A2620"/>
          <w:sz w:val="21"/>
          <w:szCs w:val="21"/>
        </w:rPr>
        <w:t xml:space="preserve">Snoonu contributed SAR 626.8m to Group GMV from an October 2025 consolidation start against full-year Snoonu GMV of SAR 2,360.0m, and generated SAR 53.7m of adjusted EBITDA in its own right. The Logistics segment reached SAR 428.8m of FY2025 net revenue, reducing dependence on single-app KSA food delivery.</w:t>
      </w:r>
    </w:p>
    <w:p>
      <w:pPr>
        <w:pStyle w:val="ListParagraph"/>
        <w:numPr>
          <w:ilvl w:val="0"/>
          <w:numId w:val="1"/>
        </w:numPr>
        <w:spacing w:after="100" w:line="250"/>
      </w:pPr>
      <w:r>
        <w:rPr>
          <w:rFonts w:ascii="Arial" w:cs="Arial" w:eastAsia="Arial" w:hAnsi="Arial"/>
          <w:b/>
          <w:bCs/>
          <w:color w:val="2A2620"/>
          <w:sz w:val="21"/>
          <w:szCs w:val="21"/>
        </w:rPr>
        <w:t xml:space="preserve">Volume growth sustained through a price war: </w:t>
      </w:r>
      <w:r>
        <w:rPr>
          <w:rFonts w:ascii="Arial" w:cs="Arial" w:eastAsia="Arial" w:hAnsi="Arial"/>
          <w:color w:val="2A2620"/>
          <w:sz w:val="21"/>
          <w:szCs w:val="21"/>
        </w:rPr>
        <w:t xml:space="preserve">Orders grew 5.3% YoY to 111.6m and GMV grew 10.8% to SAR 7,245.2m in FY2025A, with Q1-2026 orders of 31.7m on GMV of SAR 2,300.0m. The platform continued to add volume through a period of elevated competitive intensity in KSA delivery pricing.</w:t>
      </w:r>
    </w:p>
    <w:p>
      <w:pPr>
        <w:pStyle w:val="ListParagraph"/>
        <w:numPr>
          <w:ilvl w:val="0"/>
          <w:numId w:val="1"/>
        </w:numPr>
        <w:spacing w:after="100" w:line="250"/>
      </w:pPr>
      <w:r>
        <w:rPr>
          <w:rFonts w:ascii="Arial" w:cs="Arial" w:eastAsia="Arial" w:hAnsi="Arial"/>
          <w:b/>
          <w:bCs/>
          <w:color w:val="2A2620"/>
          <w:sz w:val="21"/>
          <w:szCs w:val="21"/>
        </w:rPr>
        <w:t xml:space="preserve">Rising monetisation of the GMV base: </w:t>
      </w:r>
      <w:r>
        <w:rPr>
          <w:rFonts w:ascii="Arial" w:cs="Arial" w:eastAsia="Arial" w:hAnsi="Arial"/>
          <w:color w:val="2A2620"/>
          <w:sz w:val="21"/>
          <w:szCs w:val="21"/>
        </w:rPr>
        <w:t xml:space="preserve">Take rate rose to 15.4% in FY2025A from 14.6% in FY2024A and 13.5% in FY2023A, lifting commission revenue to SAR 1,113.8m (+16.3% YoY). Monetisation per unit of GMV has expanded through the competitive cycle to date.</w:t>
      </w:r>
    </w:p>
    <w:p>
      <w:pPr>
        <w:pStyle w:val="ListParagraph"/>
        <w:numPr>
          <w:ilvl w:val="0"/>
          <w:numId w:val="1"/>
        </w:numPr>
        <w:spacing w:after="100" w:line="250"/>
      </w:pPr>
      <w:r>
        <w:rPr>
          <w:rFonts w:ascii="Arial" w:cs="Arial" w:eastAsia="Arial" w:hAnsi="Arial"/>
          <w:b/>
          <w:bCs/>
          <w:color w:val="2A2620"/>
          <w:sz w:val="21"/>
          <w:szCs w:val="21"/>
        </w:rPr>
        <w:t xml:space="preserve">A profitable KSA core funding the growth segments: </w:t>
      </w:r>
      <w:r>
        <w:rPr>
          <w:rFonts w:ascii="Arial" w:cs="Arial" w:eastAsia="Arial" w:hAnsi="Arial"/>
          <w:color w:val="2A2620"/>
          <w:sz w:val="21"/>
          <w:szCs w:val="21"/>
        </w:rPr>
        <w:t xml:space="preserve">The KSA delivery segment generated SAR 208.8m of adjusted EBITDA on SAR 1,761.0m of net revenue in FY2025A, while Non-KSA (SAR (14.4m)) and Others (SAR (25.7m)) remain loss-making or sub-scale. The core franchise carries the group P&amp;L while the diversification builds.</w:t>
      </w:r>
    </w:p>
    <w:p>
      <w:pPr>
        <w:pStyle w:val="ListParagraph"/>
        <w:numPr>
          <w:ilvl w:val="0"/>
          <w:numId w:val="1"/>
        </w:numPr>
        <w:spacing w:after="100" w:line="250"/>
      </w:pPr>
      <w:r>
        <w:rPr>
          <w:rFonts w:ascii="Arial" w:cs="Arial" w:eastAsia="Arial" w:hAnsi="Arial"/>
          <w:b/>
          <w:bCs/>
          <w:color w:val="2A2620"/>
          <w:sz w:val="21"/>
          <w:szCs w:val="21"/>
        </w:rPr>
        <w:t xml:space="preserve">Net-cash, compliance-eligible balance sheet with listed liquidity: </w:t>
      </w:r>
      <w:r>
        <w:rPr>
          <w:rFonts w:ascii="Arial" w:cs="Arial" w:eastAsia="Arial" w:hAnsi="Arial"/>
          <w:color w:val="2A2620"/>
          <w:sz w:val="21"/>
          <w:szCs w:val="21"/>
        </w:rPr>
        <w:t xml:space="preserve">The group carries SAR 16.6m of net cash against SAR 161.2m of Islamic facilities and loans, passes both AAOIFI-style screening ratios (6.01% debt and 19.03% cash against market capitalisation), and trades on Tadawul with active daily liquidity, satisfying the mandate's liquidity requirement.</w:t>
      </w:r>
    </w:p>
    <w:p>
      <w:pPr>
        <w:spacing w:after="90" w:before="220"/>
      </w:pPr>
      <w:r>
        <w:rPr>
          <w:rFonts w:ascii="Arial" w:cs="Arial" w:eastAsia="Arial" w:hAnsi="Arial"/>
          <w:b/>
          <w:bCs/>
          <w:color w:val="514B40"/>
          <w:sz w:val="24"/>
          <w:szCs w:val="24"/>
        </w:rPr>
        <w:t xml:space="preserve">Key concerns</w:t>
      </w:r>
    </w:p>
    <w:p>
      <w:pPr>
        <w:pStyle w:val="ListParagraph"/>
        <w:numPr>
          <w:ilvl w:val="0"/>
          <w:numId w:val="1"/>
        </w:numPr>
        <w:spacing w:after="100" w:line="250"/>
      </w:pPr>
      <w:r>
        <w:rPr>
          <w:rFonts w:ascii="Arial" w:cs="Arial" w:eastAsia="Arial" w:hAnsi="Arial"/>
          <w:b/>
          <w:bCs/>
          <w:color w:val="2A2620"/>
          <w:sz w:val="21"/>
          <w:szCs w:val="21"/>
        </w:rPr>
        <w:t xml:space="preserve">Price-war margin compression: </w:t>
      </w:r>
      <w:r>
        <w:rPr>
          <w:rFonts w:ascii="Arial" w:cs="Arial" w:eastAsia="Arial" w:hAnsi="Arial"/>
          <w:color w:val="2A2620"/>
          <w:sz w:val="21"/>
          <w:szCs w:val="21"/>
        </w:rPr>
        <w:t xml:space="preserve">Discount-led competition, led by the well-funded entrant Keeta, has already compressed adjusted EBITDA margin by approximately 300 bps to 8.3%. Continued fee subsidisation across the sector could delay or flatten the assumed margin-recovery path; this is the highest-scored risk on the register and the primary bear-case driver.</w:t>
      </w:r>
    </w:p>
    <w:p>
      <w:pPr>
        <w:pStyle w:val="ListParagraph"/>
        <w:numPr>
          <w:ilvl w:val="0"/>
          <w:numId w:val="1"/>
        </w:numPr>
        <w:spacing w:after="100" w:line="250"/>
      </w:pPr>
      <w:r>
        <w:rPr>
          <w:rFonts w:ascii="Arial" w:cs="Arial" w:eastAsia="Arial" w:hAnsi="Arial"/>
          <w:b/>
          <w:bCs/>
          <w:color w:val="2A2620"/>
          <w:sz w:val="21"/>
          <w:szCs w:val="21"/>
        </w:rPr>
        <w:t xml:space="preserve">Further well-capitalised entrants: </w:t>
      </w:r>
      <w:r>
        <w:rPr>
          <w:rFonts w:ascii="Arial" w:cs="Arial" w:eastAsia="Arial" w:hAnsi="Arial"/>
          <w:color w:val="2A2620"/>
          <w:sz w:val="21"/>
          <w:szCs w:val="21"/>
        </w:rPr>
        <w:t xml:space="preserve">Beyond the current field, additional funded platforms (Rabbit, the Ninja unicorn, Dingdong) are adding fulfilment-density pressure in KSA quick-commerce (Industry &amp; News Pack, p.2). Each new entrant extends the period over which pricing, rider supply, and marketing costs stay elevated.</w:t>
      </w:r>
    </w:p>
    <w:p>
      <w:pPr>
        <w:pStyle w:val="ListParagraph"/>
        <w:numPr>
          <w:ilvl w:val="0"/>
          <w:numId w:val="1"/>
        </w:numPr>
        <w:spacing w:after="100" w:line="250"/>
      </w:pPr>
      <w:r>
        <w:rPr>
          <w:rFonts w:ascii="Arial" w:cs="Arial" w:eastAsia="Arial" w:hAnsi="Arial"/>
          <w:b/>
          <w:bCs/>
          <w:color w:val="2A2620"/>
          <w:sz w:val="21"/>
          <w:szCs w:val="21"/>
        </w:rPr>
        <w:t xml:space="preserve">Earnings volatility and one-off charges: </w:t>
      </w:r>
      <w:r>
        <w:rPr>
          <w:rFonts w:ascii="Arial" w:cs="Arial" w:eastAsia="Arial" w:hAnsi="Arial"/>
          <w:color w:val="2A2620"/>
          <w:sz w:val="21"/>
          <w:szCs w:val="21"/>
        </w:rPr>
        <w:t xml:space="preserve">Q4-2025 carried SAR 55.4m of one-off items across four distinct categories, and Q1-2026 printed a SAR 9.2m net loss. A recurrence of impairments of similar size would indicate the charges are structural rather than one-time, and would warrant re-running the scenario weights.</w:t>
      </w:r>
    </w:p>
    <w:p>
      <w:pPr>
        <w:pStyle w:val="ListParagraph"/>
        <w:numPr>
          <w:ilvl w:val="0"/>
          <w:numId w:val="1"/>
        </w:numPr>
        <w:spacing w:after="100" w:line="250"/>
      </w:pPr>
      <w:r>
        <w:rPr>
          <w:rFonts w:ascii="Arial" w:cs="Arial" w:eastAsia="Arial" w:hAnsi="Arial"/>
          <w:b/>
          <w:bCs/>
          <w:color w:val="2A2620"/>
          <w:sz w:val="21"/>
          <w:szCs w:val="21"/>
        </w:rPr>
        <w:t xml:space="preserve">Margin-recovery execution risk: </w:t>
      </w:r>
      <w:r>
        <w:rPr>
          <w:rFonts w:ascii="Arial" w:cs="Arial" w:eastAsia="Arial" w:hAnsi="Arial"/>
          <w:color w:val="2A2620"/>
          <w:sz w:val="21"/>
          <w:szCs w:val="21"/>
        </w:rPr>
        <w:t xml:space="preserve">The forecast rebuilds adjusted EBITDA margin from 8.3% in FY2025A toward the FY2024A level of 11.3% by the terminal year, anchored to management's FY2026 guidance. Slippage against that path feeds directly through to the DCF value; the bear case (7.0% IRR at SAR 10.03 per share) quantifies the downside.</w:t>
      </w:r>
    </w:p>
    <w:p>
      <w:pPr>
        <w:pStyle w:val="ListParagraph"/>
        <w:numPr>
          <w:ilvl w:val="0"/>
          <w:numId w:val="1"/>
        </w:numPr>
        <w:spacing w:after="100" w:line="250"/>
      </w:pPr>
      <w:r>
        <w:rPr>
          <w:rFonts w:ascii="Arial" w:cs="Arial" w:eastAsia="Arial" w:hAnsi="Arial"/>
          <w:b/>
          <w:bCs/>
          <w:color w:val="2A2620"/>
          <w:sz w:val="21"/>
          <w:szCs w:val="21"/>
        </w:rPr>
        <w:t xml:space="preserve">Valuation sensitivity and market-data ambiguity: </w:t>
      </w:r>
      <w:r>
        <w:rPr>
          <w:rFonts w:ascii="Arial" w:cs="Arial" w:eastAsia="Arial" w:hAnsi="Arial"/>
          <w:color w:val="2A2620"/>
          <w:sz w:val="21"/>
          <w:szCs w:val="21"/>
        </w:rPr>
        <w:t xml:space="preserve">The DCF value is sensitive to the WACC-minus-growth spread (see the workbook sensitivity grid), and the public share-count record carries a known 203m vs 217m discrepancy pending Tadawul register reconciliation (Market Data &amp; Comparables Snapshot, p.2). Both are handled with conservative settings rather than assumed away.</w:t>
      </w:r>
    </w:p>
    <w:p>
      <w:pPr>
        <w:spacing w:after="200" w:before="40"/>
      </w:pPr>
      <w:r>
        <w:rPr>
          <w:rFonts w:ascii="Arial" w:cs="Arial" w:eastAsia="Arial" w:hAnsi="Arial"/>
          <w:i/>
          <w:iCs/>
          <w:color w:val="6B6455"/>
          <w:sz w:val="17"/>
          <w:szCs w:val="17"/>
        </w:rPr>
        <w:t xml:space="preserve">Every figure above resolves to the sources in the Appendix; qualitative judgments are the analyst's and are labeled as such.</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Rabbit, the Ninja unicorn, and Dingdong,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GMV compounded from SAR 5,100.0m to SAR 6,541.9m to SAR 7,245.2m. Take rate (commission revenue / GMV) rose from 13.5% to 14.6% to 15.4%, lifting commission revenue to SAR 1,113.8m even as net revenue growth decelerated to +4.7%,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2709"/>
        <w:gridCol w:w="2077"/>
        <w:gridCol w:w="2077"/>
        <w:gridCol w:w="2167"/>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FY2024A's adjusted EBITDA margin of 11.3% on SAR 2,218.7m of net revenue gave way to 8.3% on SAR 2,323.6m in FY2025A, a ~300 bps contraction,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spacing w:after="90" w:before="220"/>
      </w:pPr>
      <w:r>
        <w:rPr>
          <w:rFonts w:ascii="Arial" w:cs="Arial" w:eastAsia="Arial" w:hAnsi="Arial"/>
          <w:b/>
          <w:bCs/>
          <w:color w:val="514B40"/>
          <w:sz w:val="24"/>
          <w:szCs w:val="24"/>
        </w:rPr>
        <w:t xml:space="preserve">Historical &amp; projected financials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445"/>
        <w:gridCol w:w="948"/>
        <w:gridCol w:w="948"/>
        <w:gridCol w:w="948"/>
        <w:gridCol w:w="948"/>
        <w:gridCol w:w="948"/>
        <w:gridCol w:w="948"/>
        <w:gridCol w:w="948"/>
        <w:gridCol w:w="948"/>
      </w:tblGrid>
      <w:tr>
        <w:trPr>
          <w:tblHeader/>
        </w:trPr>
        <w:tc>
          <w:tcPr>
            <w:tcW w:type="pct" w:w="1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SAR m unless noted</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FY26E</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FY27E</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FY28E</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FY29E</w:t>
            </w:r>
          </w:p>
        </w:tc>
        <w:tc>
          <w:tcPr>
            <w:tcW w:type="pct" w:w="10.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FY30E</w:t>
            </w:r>
          </w:p>
        </w:tc>
      </w:tr>
      <w:tr>
        <w:tc>
          <w:tcPr>
            <w:tcW w:type="pct" w:w="1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2,808.4</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3,218.5</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3,613.4</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3,982.3</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4,347.9</w:t>
            </w:r>
          </w:p>
        </w:tc>
      </w:tr>
      <w:tr>
        <w:tc>
          <w:tcPr>
            <w:tcW w:type="pct" w:w="1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growth</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24.3%</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4.7%</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20.9%</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10.2%</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9.2%</w:t>
            </w:r>
          </w:p>
        </w:tc>
      </w:tr>
      <w:tr>
        <w:tc>
          <w:tcPr>
            <w:tcW w:type="pct" w:w="1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210.6</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289.7</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379.4</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458.0</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521.7</w:t>
            </w:r>
          </w:p>
        </w:tc>
      </w:tr>
      <w:tr>
        <w:tc>
          <w:tcPr>
            <w:tcW w:type="pct" w:w="1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margin</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10.2%</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11.3%</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8.3%</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7.5%</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9.0%</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10.5%</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11.5%</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12.0%</w:t>
            </w:r>
          </w:p>
        </w:tc>
      </w:tr>
      <w:tr>
        <w:tc>
          <w:tcPr>
            <w:tcW w:type="pct" w:w="1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D&amp;A</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89.4</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98.3</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112.6</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126.5</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139.4</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152.2</w:t>
            </w:r>
          </w:p>
        </w:tc>
      </w:tr>
      <w:tr>
        <w:tc>
          <w:tcPr>
            <w:tcW w:type="pct" w:w="1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EBIT</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199.0</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103.6</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112.3</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177.0</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252.9</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318.6</w:t>
            </w:r>
          </w:p>
        </w:tc>
        <w:tc>
          <w:tcPr>
            <w:tcW w:type="pct" w:w="10.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369.6</w:t>
            </w:r>
          </w:p>
        </w:tc>
      </w:tr>
      <w:tr>
        <w:tc>
          <w:tcPr>
            <w:tcW w:type="pct" w:w="1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180.9</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130.2</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127.9</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196.6</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274.8</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343.1</w:t>
            </w:r>
          </w:p>
        </w:tc>
        <w:tc>
          <w:tcPr>
            <w:tcW w:type="pct" w:w="10.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396.5</w:t>
            </w:r>
          </w:p>
        </w:tc>
      </w:tr>
    </w:tbl>
    <w:p>
      <w:pPr>
        <w:spacing w:after="200" w:before="40"/>
      </w:pPr>
      <w:r>
        <w:rPr>
          <w:rFonts w:ascii="Arial" w:cs="Arial" w:eastAsia="Arial" w:hAnsi="Arial"/>
          <w:i/>
          <w:iCs/>
          <w:color w:val="6B6455"/>
          <w:sz w:val="17"/>
          <w:szCs w:val="17"/>
        </w:rPr>
        <w:t xml:space="preserve">Source: FY23A-FY25A net revenue and adjusted EBITDA per Annual Report 2024, p.5 and Q4 2025 Earnings Results, p.4, p.8; FY26E-FY30E per the Faheem Valuation Model base case (Assumptions tab carries each driver's rationale). Actual-year D&amp;A per the same filings; actual-year EBIT and FCFF apply the model's capex and working-capital assumptions to reported figures, are estimates shown for continuity, and do not feed the DCF.</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primary methodology is a free-cash-flow-to-firm DCF. The WACC of 13.3% is built bottom-up from a 4.6% Saudi risk-free rate, a 1.82x comparable-set beta, and a 5.0% equity risk premium, giving a 13.7% cost of equity; terminal value applies Gordon growth of 3.0%. The base case yields SAR 14.36 per share, +12.3% against the SAR 12.79 close. Trading-comparables triangulation (EV/Revenue, EV/EBITDA, and P/E across Talabat, DoorDash, and Delivery Hero, per the Market Data &amp; Comparables Snapshot, p.4) spans SAR 5.81 to SAR 61.32 of implied value per share (median SAR 24.36); the width of that field reflects the gap between KSA-scale multiples and richly-priced US growth peers, and the DCF result sits toward the lower half of the range, anchored to Jahez's own projected cash flows rather than borrowed multiples. Scenario weighting (25% bull at SAR 19.24, 50% base, 25% bear at SAR 10.03) produces a probability-weighted value of SAR 14.50 per share and an expected return of 16.8% against the 15.0% hurdle.</w:t>
      </w:r>
    </w:p>
    <w:p>
      <w:pPr>
        <w:spacing w:after="90" w:before="220"/>
      </w:pPr>
      <w:r>
        <w:rPr>
          <w:rFonts w:ascii="Arial" w:cs="Arial" w:eastAsia="Arial" w:hAnsi="Arial"/>
          <w:b/>
          <w:bCs/>
          <w:color w:val="514B40"/>
          <w:sz w:val="24"/>
          <w:szCs w:val="24"/>
        </w:rPr>
        <w:t xml:space="preserve">Trading comparables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986"/>
        <w:gridCol w:w="1174"/>
        <w:gridCol w:w="1174"/>
        <w:gridCol w:w="1174"/>
        <w:gridCol w:w="1174"/>
        <w:gridCol w:w="1174"/>
        <w:gridCol w:w="1174"/>
      </w:tblGrid>
      <w:tr>
        <w:trPr>
          <w:tblHeader/>
        </w:trPr>
        <w:tc>
          <w:tcPr>
            <w:tcW w:type="pct" w:w="22%"/>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Company</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EV/Revenue</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Implied /sh</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EV/EBITDA</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Implied /sh</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P/E</w:t>
            </w:r>
          </w:p>
        </w:tc>
        <w:tc>
          <w:tcPr>
            <w:tcW w:type="pct" w:w="1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Implied /sh</w:t>
            </w:r>
          </w:p>
        </w:tc>
      </w:tr>
      <w:tr>
        <w:tc>
          <w:tcPr>
            <w:tcW w:type="pct" w:w="2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Talabat</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1.88x</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20.90</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12.90x</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11.94</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16.70x</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5.81</w:t>
            </w:r>
          </w:p>
        </w:tc>
      </w:tr>
      <w:tr>
        <w:tc>
          <w:tcPr>
            <w:tcW w:type="pct" w:w="22%"/>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DoorDash</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5.53x</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61.32</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60.25x</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55.50</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91.43x</w:t>
            </w:r>
          </w:p>
        </w:tc>
        <w:tc>
          <w:tcPr>
            <w:tcW w:type="pct" w:w="1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31.81</w:t>
            </w:r>
          </w:p>
        </w:tc>
      </w:tr>
      <w:tr>
        <w:tc>
          <w:tcPr>
            <w:tcW w:type="pct" w:w="2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Delivery Hero</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0.97x</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10.82</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30.16x</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27.82</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c>
          <w:tcPr>
            <w:tcW w:type="pct" w:w="1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r>
    </w:tbl>
    <w:p>
      <w:pPr>
        <w:spacing w:after="200" w:before="40"/>
      </w:pPr>
      <w:r>
        <w:rPr>
          <w:rFonts w:ascii="Arial" w:cs="Arial" w:eastAsia="Arial" w:hAnsi="Arial"/>
          <w:i/>
          <w:iCs/>
          <w:color w:val="6B6455"/>
          <w:sz w:val="17"/>
          <w:szCs w:val="17"/>
        </w:rPr>
        <w:t xml:space="preserve">Implied-value field: SAR 5.81 min / SAR 24.36 median / SAR 61.32 max. Source: peer multiples per Market Data &amp; Comparables Snapshot, p.4 (Delivery Hero P/E not meaningful on negative trailing earnings); implied values per share apply each multiple to Jahez FY2025A net revenue, adjusted EBITDA, or net income per the Faheem Valuation Model, Comps tab.</w:t>
      </w:r>
    </w:p>
    <w:p>
      <w:pPr>
        <w:spacing w:after="90" w:before="220"/>
      </w:pPr>
      <w:r>
        <w:rPr>
          <w:rFonts w:ascii="Arial" w:cs="Arial" w:eastAsia="Arial" w:hAnsi="Arial"/>
          <w:b/>
          <w:bCs/>
          <w:color w:val="514B40"/>
          <w:sz w:val="24"/>
          <w:szCs w:val="24"/>
        </w:rPr>
        <w:t xml:space="preserve">Scenario analysis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2709"/>
        <w:gridCol w:w="1625"/>
        <w:gridCol w:w="1625"/>
        <w:gridCol w:w="1625"/>
        <w:gridCol w:w="1445"/>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the same dynamic already visible in the 300 bps FY2025A EBITDA-margin contraction and the SAR 9.2m Q1-2026A net loss,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2347"/>
        <w:gridCol w:w="542"/>
        <w:gridCol w:w="542"/>
        <w:gridCol w:w="813"/>
        <w:gridCol w:w="2980"/>
        <w:gridCol w:w="1806"/>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9%"/>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9%"/>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9%"/>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3070"/>
        <w:gridCol w:w="2709"/>
        <w:gridCol w:w="325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Compliance Screen</w:t>
      </w:r>
    </w:p>
    <w:p>
      <w:pPr>
        <w:spacing w:after="160" w:line="264"/>
        <w:jc w:val="both"/>
      </w:pPr>
      <w:r>
        <w:rPr>
          <w:rFonts w:ascii="Arial" w:cs="Arial" w:eastAsia="Arial" w:hAnsi="Arial"/>
          <w:color w:val="2A2620"/>
          <w:sz w:val="21"/>
          <w:szCs w:val="21"/>
        </w:rPr>
        <w:t xml:space="preserve">Jahez passes Lunar's AAOIFI/Tadawul-methodology compliance screen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33% AAOIFI leverage/liquidity threshold. Including IFRS-16 lease liabilities (SAR 332.9m) in the stricter memo view still passes at 18.41%. Non-eligible income is not separately disclosed in the filings; per AAOIFI practice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3612"/>
        <w:gridCol w:w="1806"/>
        <w:gridCol w:w="1806"/>
        <w:gridCol w:w="1806"/>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6320"/>
        <w:gridCol w:w="2709"/>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p.16, 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2026-07-16T23:07:44.122Z</dcterms:created>
  <dcterms:modified xsi:type="dcterms:W3CDTF">2026-07-16T23:07:44.122Z</dcterms:modified>
</cp:coreProperties>
</file>

<file path=docProps/custom.xml><?xml version="1.0" encoding="utf-8"?>
<Properties xmlns="http://schemas.openxmlformats.org/officeDocument/2006/custom-properties" xmlns:vt="http://schemas.openxmlformats.org/officeDocument/2006/docPropsVTypes"/>
</file>