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hd w:fill="2A2620" w:color="auto" w:val="clear"/>
        <w:spacing w:after="240" w:before="180"/>
        <w:ind w:left="431"/>
      </w:pPr>
      <w:r>
        <w:rPr>
          <w:rFonts w:ascii="Georgia" w:cs="Georgia" w:eastAsia="Georgia" w:hAnsi="Georgia"/>
          <w:b/>
          <w:bCs/>
          <w:i w:val="false"/>
          <w:iCs w:val="false"/>
          <w:color w:val="F5F1E6"/>
          <w:sz w:val="60"/>
          <w:szCs w:val="60"/>
        </w:rPr>
        <w:t xml:space="preserve">LUNAR INVESTMENTS</w:t>
      </w:r>
    </w:p>
    <w:p>
      <w:pPr>
        <w:shd w:fill="2A2620" w:color="auto" w:val="clear"/>
        <w:spacing w:after="108" w:before="78"/>
        <w:ind w:left="431"/>
      </w:pPr>
      <w:r>
        <w:rPr>
          <w:rFonts w:ascii="Georgia" w:cs="Georgia" w:eastAsia="Georgia" w:hAnsi="Georgia"/>
          <w:b/>
          <w:bCs/>
          <w:i/>
          <w:iCs/>
          <w:color w:val="B08D2A"/>
          <w:sz w:val="26"/>
          <w:szCs w:val="26"/>
        </w:rPr>
        <w:t xml:space="preserve">Private Growth Equity, Deal Screening</w:t>
      </w:r>
    </w:p>
    <w:p>
      <w:pPr>
        <w:shd w:fill="2A2620" w:color="auto" w:val="clear"/>
        <w:spacing w:after="298" w:before="78"/>
        <w:ind w:left="431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5F1E6"/>
          <w:sz w:val="26"/>
          <w:szCs w:val="26"/>
        </w:rPr>
        <w:t xml:space="preserve">Darb Logistics Technology: Screening Memorandum for the Investment Committee</w:t>
      </w:r>
    </w:p>
    <w:p>
      <w:pPr>
        <w:spacing w:after="200" w:before="160"/>
        <w:jc w:val="center"/>
      </w:pPr>
      <w:r>
        <w:rPr>
          <w:rFonts w:ascii="Arial" w:cs="Arial" w:eastAsia="Arial" w:hAnsi="Arial"/>
          <w:b/>
          <w:bCs/>
          <w:color w:val="6B6455"/>
          <w:sz w:val="17"/>
          <w:szCs w:val="17"/>
        </w:rPr>
        <w:t xml:space="preserve">PRIVILEGED &amp; CONFIDENTIAL · PREPARED FOR THE INVESTMENT COMMITTEE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2A2620"/>
          <w:sz w:val="40"/>
          <w:szCs w:val="40"/>
        </w:rPr>
        <w:t xml:space="preserve">Screening Outcome: Advance to Pitch Meeting</w:t>
      </w:r>
    </w:p>
    <w:p>
      <w:pPr>
        <w:spacing w:after="240"/>
        <w:jc w:val="center"/>
      </w:pPr>
      <w:r>
        <w:rPr>
          <w:rFonts w:ascii="Arial" w:cs="Arial" w:eastAsia="Arial" w:hAnsi="Arial"/>
          <w:color w:val="514B40"/>
          <w:sz w:val="23"/>
          <w:szCs w:val="23"/>
        </w:rPr>
        <w:t xml:space="preserve">5 of 6 Charter criteria pass · 1 concentration flag requiring IC acknowledgement</w:t>
      </w:r>
    </w:p>
    <w:tbl>
      <w:tblPr>
        <w:tblW w:type="pct" w:w="100%"/>
        <w:tblBorders>
          <w:top w:val="single" w:color="B7AF9C" w:sz="4"/>
          <w:left w:val="single" w:color="B7AF9C" w:sz="4"/>
          <w:bottom w:val="single" w:color="B7AF9C" w:sz="4"/>
          <w:right w:val="single" w:color="B7AF9C" w:sz="4"/>
          <w:insideH w:val="single" w:color="D8D2C4" w:sz="4"/>
          <w:insideV w:val="single" w:color="D8D2C4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shd w:fill="2A26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1E6"/>
                <w:sz w:val="19"/>
                <w:szCs w:val="19"/>
              </w:rPr>
              <w:t xml:space="preserve">Company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Darb Logistics Technology</w:t>
            </w:r>
          </w:p>
        </w:tc>
        <w:tc>
          <w:tcPr>
            <w:tcW w:type="pct" w:w="18%"/>
            <w:shd w:fill="2A26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1E6"/>
                <w:sz w:val="19"/>
                <w:szCs w:val="19"/>
              </w:rPr>
              <w:t xml:space="preserve">Sector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Logistics SaaS</w:t>
            </w:r>
          </w:p>
        </w:tc>
      </w:tr>
      <w:tr>
        <w:tc>
          <w:tcPr>
            <w:tcW w:type="pct" w:w="18%"/>
            <w:shd w:fill="2A26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1E6"/>
                <w:sz w:val="19"/>
                <w:szCs w:val="19"/>
              </w:rPr>
              <w:t xml:space="preserve">Transaction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Series B · primary</w:t>
            </w:r>
          </w:p>
        </w:tc>
        <w:tc>
          <w:tcPr>
            <w:tcW w:type="pct" w:w="18%"/>
            <w:shd w:fill="2A26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1E6"/>
                <w:sz w:val="19"/>
                <w:szCs w:val="19"/>
              </w:rPr>
              <w:t xml:space="preserve">Ask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SAR 40M</w:t>
            </w:r>
          </w:p>
        </w:tc>
      </w:tr>
      <w:tr>
        <w:tc>
          <w:tcPr>
            <w:tcW w:type="pct" w:w="18%"/>
            <w:shd w:fill="2A26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1E6"/>
                <w:sz w:val="19"/>
                <w:szCs w:val="19"/>
              </w:rPr>
              <w:t xml:space="preserve">Geography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Riyadh, Saudi Arabia</w:t>
            </w:r>
          </w:p>
        </w:tc>
        <w:tc>
          <w:tcPr>
            <w:tcW w:type="pct" w:w="18%"/>
            <w:shd w:fill="2A26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1E6"/>
                <w:sz w:val="19"/>
                <w:szCs w:val="19"/>
              </w:rPr>
              <w:t xml:space="preserve">Founded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2022</w:t>
            </w:r>
          </w:p>
        </w:tc>
      </w:tr>
      <w:tr>
        <w:tc>
          <w:tcPr>
            <w:tcW w:type="pct" w:w="18%"/>
            <w:shd w:fill="2A26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1E6"/>
                <w:sz w:val="19"/>
                <w:szCs w:val="19"/>
              </w:rPr>
              <w:t xml:space="preserve">ARR (FY2025A)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SAR 18.2m (company-reported)</w:t>
            </w:r>
          </w:p>
        </w:tc>
        <w:tc>
          <w:tcPr>
            <w:tcW w:type="pct" w:w="18%"/>
            <w:shd w:fill="2A26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1E6"/>
                <w:sz w:val="19"/>
                <w:szCs w:val="19"/>
              </w:rPr>
              <w:t xml:space="preserve">ARR (FY2026E)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SAR 29.5m guided</w:t>
            </w:r>
          </w:p>
        </w:tc>
      </w:tr>
      <w:tr>
        <w:tc>
          <w:tcPr>
            <w:tcW w:type="pct" w:w="18%"/>
            <w:shd w:fill="2A26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1E6"/>
                <w:sz w:val="19"/>
                <w:szCs w:val="19"/>
              </w:rPr>
              <w:t xml:space="preserve">NRR (FY2025A)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118%</w:t>
            </w:r>
          </w:p>
        </w:tc>
        <w:tc>
          <w:tcPr>
            <w:tcW w:type="pct" w:w="18%"/>
            <w:shd w:fill="2A26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1E6"/>
                <w:sz w:val="19"/>
                <w:szCs w:val="19"/>
              </w:rPr>
              <w:t xml:space="preserve">Runway at close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~24 months</w:t>
            </w:r>
          </w:p>
        </w:tc>
      </w:tr>
      <w:tr>
        <w:tc>
          <w:tcPr>
            <w:tcW w:type="pct" w:w="18%"/>
            <w:shd w:fill="2A26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1E6"/>
                <w:sz w:val="19"/>
                <w:szCs w:val="19"/>
              </w:rPr>
              <w:t xml:space="preserve">Screening result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5 of 6 pass · 1 flag</w:t>
            </w:r>
          </w:p>
        </w:tc>
        <w:tc>
          <w:tcPr>
            <w:tcW w:type="pct" w:w="18%"/>
            <w:shd w:fill="2A26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1E6"/>
                <w:sz w:val="19"/>
                <w:szCs w:val="19"/>
              </w:rPr>
              <w:t xml:space="preserve">Compliance pre-screen</w:t>
            </w:r>
          </w:p>
        </w:tc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200" w:before="260"/>
        <w:jc w:val="center"/>
      </w:pPr>
      <w:r>
        <w:rPr>
          <w:rFonts w:ascii="Arial" w:cs="Arial" w:eastAsia="Arial" w:hAnsi="Arial"/>
          <w:color w:val="6B6455"/>
          <w:sz w:val="17"/>
          <w:szCs w:val="17"/>
        </w:rPr>
        <w:t xml:space="preserve">Contents: Executive Summary · Screening Outcome vs the IC Charter · Key Strengths and Concerns · Company and Market Overview · Financial Summary and Use of Proceeds · Sources</w:t>
      </w:r>
    </w:p>
    <w:p>
      <w:pPr>
        <w:pBdr>
          <w:top w:val="single" w:color="B08D2A" w:sz="6"/>
          <w:bottom w:val="single" w:color="B08D2A" w:sz="6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6B6455"/>
          <w:sz w:val="20"/>
          <w:szCs w:val="20"/>
        </w:rPr>
        <w:t xml:space="preserve">A screening outcome only, the investment decision rests with the Investment Committee.</w:t>
      </w:r>
    </w:p>
    <w:p>
      <w:pPr>
        <w:spacing w:before="320"/>
        <w:jc w:val="center"/>
      </w:pPr>
      <w:r>
        <w:rPr>
          <w:rFonts w:ascii="Arial" w:cs="Arial" w:eastAsia="Arial" w:hAnsi="Arial"/>
          <w:color w:val="6B6455"/>
          <w:sz w:val="19"/>
          <w:szCs w:val="19"/>
        </w:rPr>
        <w:t xml:space="preserve">Prepared by Faheem for Lunar Investments · 15 July 2026</w:t>
      </w:r>
    </w:p>
    <w:p>
      <w:pPr>
        <w:pageBreakBefore/>
      </w:pPr>
    </w:p>
    <w:p>
      <w:pPr>
        <w:spacing w:after="0" w:before="220"/>
      </w:pPr>
    </w:p>
    <w:p>
      <w:pPr>
        <w:pStyle w:val="Heading1"/>
        <w:pBdr>
          <w:bottom w:val="single" w:color="B08D2A" w:sz="12"/>
        </w:pBdr>
        <w:shd w:fill="2A2620" w:color="auto" w:val="clear"/>
        <w:spacing w:after="240" w:before="90"/>
        <w:ind w:left="172"/>
      </w:pPr>
      <w:r>
        <w:rPr>
          <w:rFonts w:ascii="Georgia" w:cs="Georgia" w:eastAsia="Georgia" w:hAnsi="Georgia"/>
          <w:b/>
          <w:bCs/>
          <w:color w:val="F5F1E6"/>
          <w:sz w:val="28"/>
          <w:szCs w:val="28"/>
        </w:rPr>
        <w:t xml:space="preserve">Executive Summary</w:t>
      </w:r>
    </w:p>
    <w:p>
      <w:pPr>
        <w:pStyle w:val="ListParagraph"/>
        <w:numPr>
          <w:ilvl w:val="0"/>
          <w:numId w:val="1"/>
        </w:numPr>
        <w:spacing w:after="100" w:line="256"/>
        <w:jc w:val="both"/>
      </w:pPr>
      <w:r>
        <w:rPr>
          <w:rFonts w:ascii="Arial" w:cs="Arial" w:eastAsia="Arial" w:hAnsi="Arial"/>
          <w:color w:val="2A2620"/>
          <w:sz w:val="21"/>
          <w:szCs w:val="21"/>
        </w:rPr>
        <w:t xml:space="preserve">Darb Logistics Technology is a Riyadh-based logistics SaaS company, founded in 2022, providing route optimization, live fleet operations, a carrier API layer and delivery analytics to last-mile and middle-mile operators; the product is subscription software deployed on the customer's existing fleet.</w:t>
      </w:r>
    </w:p>
    <w:p>
      <w:pPr>
        <w:pStyle w:val="ListParagraph"/>
        <w:numPr>
          <w:ilvl w:val="0"/>
          <w:numId w:val="1"/>
        </w:numPr>
        <w:spacing w:after="100" w:line="256"/>
        <w:jc w:val="both"/>
      </w:pPr>
      <w:r>
        <w:rPr>
          <w:rFonts w:ascii="Arial" w:cs="Arial" w:eastAsia="Arial" w:hAnsi="Arial"/>
          <w:color w:val="2A2620"/>
          <w:sz w:val="21"/>
          <w:szCs w:val="21"/>
        </w:rPr>
        <w:t xml:space="preserve">The inbound opportunity is a SAR 40M Series B, sourced via founder outreach to Lunar's private growth-equity desk.</w:t>
      </w:r>
    </w:p>
    <w:p>
      <w:pPr>
        <w:pStyle w:val="ListParagraph"/>
        <w:numPr>
          <w:ilvl w:val="0"/>
          <w:numId w:val="1"/>
        </w:numPr>
        <w:spacing w:after="100" w:line="256"/>
        <w:jc w:val="both"/>
      </w:pPr>
      <w:r>
        <w:rPr>
          <w:rFonts w:ascii="Arial" w:cs="Arial" w:eastAsia="Arial" w:hAnsi="Arial"/>
          <w:color w:val="2A2620"/>
          <w:sz w:val="21"/>
          <w:szCs w:val="21"/>
        </w:rPr>
        <w:t xml:space="preserve">Company-reported, unaudited figures show ARR of SAR 18.2m in FY2025A and SAR 29.5m guided for FY2026E (+62% YoY), gross margin of 68%, and net revenue retention of 118%.</w:t>
      </w:r>
    </w:p>
    <w:p>
      <w:pPr>
        <w:pStyle w:val="ListParagraph"/>
        <w:numPr>
          <w:ilvl w:val="0"/>
          <w:numId w:val="1"/>
        </w:numPr>
        <w:spacing w:after="100" w:line="256"/>
        <w:jc w:val="both"/>
      </w:pPr>
      <w:r>
        <w:rPr>
          <w:rFonts w:ascii="Arial" w:cs="Arial" w:eastAsia="Arial" w:hAnsi="Arial"/>
          <w:color w:val="2A2620"/>
          <w:sz w:val="21"/>
          <w:szCs w:val="21"/>
        </w:rPr>
        <w:t xml:space="preserve">Management indicates proceeds are earmarked roughly 55% for go-to-market expansion, 30% for product and engineering headcount, and 15% for working capital; post-round cash runway is guided at ~24 months.</w:t>
      </w:r>
    </w:p>
    <w:p>
      <w:pPr>
        <w:pStyle w:val="ListParagraph"/>
        <w:numPr>
          <w:ilvl w:val="0"/>
          <w:numId w:val="1"/>
        </w:numPr>
        <w:spacing w:after="100" w:line="256"/>
        <w:jc w:val="both"/>
      </w:pPr>
      <w:r>
        <w:rPr>
          <w:rFonts w:ascii="Arial" w:cs="Arial" w:eastAsia="Arial" w:hAnsi="Arial"/>
          <w:color w:val="2A2620"/>
          <w:sz w:val="21"/>
          <w:szCs w:val="21"/>
        </w:rPr>
        <w:t xml:space="preserve">Mandate screening against the Lunar IC Charter: five of six criteria pass outright; sector concentration is flagged, post-deal Technology &amp; Consumer exposure of 10.5% of firm AUM would exceed the Charter's 10% cap and requires explicit Investment Committee acknowledgement before the deal advances.</w:t>
      </w:r>
    </w:p>
    <w:p>
      <w:pPr>
        <w:pStyle w:val="ListParagraph"/>
        <w:numPr>
          <w:ilvl w:val="0"/>
          <w:numId w:val="1"/>
        </w:numPr>
        <w:spacing w:after="100" w:line="256"/>
        <w:jc w:val="both"/>
      </w:pPr>
      <w:r>
        <w:rPr>
          <w:rFonts w:ascii="Arial" w:cs="Arial" w:eastAsia="Arial" w:hAnsi="Arial"/>
          <w:color w:val="2A2620"/>
          <w:sz w:val="21"/>
          <w:szCs w:val="21"/>
        </w:rPr>
        <w:t xml:space="preserve">No sanctions, conflicts-of-interest, or related-party issues were identified at the pre-screen stage; the compliance pre-screen passes.</w:t>
      </w:r>
    </w:p>
    <w:p>
      <w:pPr>
        <w:pStyle w:val="ListParagraph"/>
        <w:numPr>
          <w:ilvl w:val="0"/>
          <w:numId w:val="1"/>
        </w:numPr>
        <w:spacing w:after="100" w:line="256"/>
        <w:jc w:val="both"/>
      </w:pPr>
      <w:r>
        <w:rPr>
          <w:rFonts w:ascii="Arial" w:cs="Arial" w:eastAsia="Arial" w:hAnsi="Arial"/>
          <w:color w:val="2A2620"/>
          <w:sz w:val="21"/>
          <w:szCs w:val="21"/>
        </w:rPr>
        <w:t xml:space="preserve">All figures in this memorandum are screening-stage and unaudited: audited FY2023-FY2025 statements, customer contracts, and cohort-level retention data are required diligence items under NDA.</w:t>
      </w:r>
    </w:p>
    <w:p>
      <w:pPr>
        <w:pStyle w:val="ListParagraph"/>
        <w:numPr>
          <w:ilvl w:val="0"/>
          <w:numId w:val="1"/>
        </w:numPr>
        <w:spacing w:after="100" w:line="256"/>
        <w:jc w:val="both"/>
      </w:pPr>
      <w:r>
        <w:rPr>
          <w:rFonts w:ascii="Arial" w:cs="Arial" w:eastAsia="Arial" w:hAnsi="Arial"/>
          <w:color w:val="2A2620"/>
          <w:sz w:val="21"/>
          <w:szCs w:val="21"/>
        </w:rPr>
        <w:t xml:space="preserve">This memorandum reports a screening outcome, not an investment recommendation; advancing past screening and any subsequent investment decision rest with the Investment Committee.</w:t>
      </w:r>
    </w:p>
    <w:p>
      <w:pPr>
        <w:spacing w:after="200" w:before="40"/>
      </w:pPr>
      <w:r>
        <w:rPr>
          <w:rFonts w:ascii="Arial" w:cs="Arial" w:eastAsia="Arial" w:hAnsi="Arial"/>
          <w:i/>
          <w:iCs/>
          <w:color w:val="6B6455"/>
          <w:sz w:val="17"/>
          <w:szCs w:val="17"/>
        </w:rPr>
        <w:t xml:space="preserve">Source: Darb Data Room · Screening Summary, p.1; Source: Darb Data Room · Screening Summary, p.3; Source: Lunar IC Charter &amp; Investment Mandate, p.3.</w:t>
      </w:r>
    </w:p>
    <w:p>
      <w:pPr>
        <w:spacing w:after="0" w:before="220"/>
      </w:pPr>
    </w:p>
    <w:p>
      <w:pPr>
        <w:pStyle w:val="Heading1"/>
        <w:pBdr>
          <w:bottom w:val="single" w:color="B08D2A" w:sz="12"/>
        </w:pBdr>
        <w:shd w:fill="2A2620" w:color="auto" w:val="clear"/>
        <w:spacing w:after="240" w:before="90"/>
        <w:ind w:left="172"/>
      </w:pPr>
      <w:r>
        <w:rPr>
          <w:rFonts w:ascii="Georgia" w:cs="Georgia" w:eastAsia="Georgia" w:hAnsi="Georgia"/>
          <w:b/>
          <w:bCs/>
          <w:color w:val="F5F1E6"/>
          <w:sz w:val="28"/>
          <w:szCs w:val="28"/>
        </w:rPr>
        <w:t xml:space="preserve">Screening Outcome vs the IC Charter</w:t>
      </w:r>
    </w:p>
    <w:p>
      <w:pPr>
        <w:spacing w:after="160" w:line="264"/>
        <w:jc w:val="both"/>
      </w:pPr>
      <w:r>
        <w:rPr>
          <w:rFonts w:ascii="Arial" w:cs="Arial" w:eastAsia="Arial" w:hAnsi="Arial"/>
          <w:color w:val="2A2620"/>
          <w:sz w:val="21"/>
          <w:szCs w:val="21"/>
        </w:rPr>
        <w:t xml:space="preserve">This memorandum summarizes the initial mandate screening of Darb Logistics Technology, an inbound Series B opportunity, against the Lunar Investments IC Charter. It is a screening-stage document: it establishes whether the opportunity clears the firm's baseline mandate criteria, not a full investment analysis.</w:t>
      </w:r>
    </w:p>
    <w:p>
      <w:pPr>
        <w:spacing w:after="160" w:line="264"/>
        <w:jc w:val="both"/>
      </w:pPr>
      <w:r>
        <w:rPr>
          <w:rFonts w:ascii="Arial" w:cs="Arial" w:eastAsia="Arial" w:hAnsi="Arial"/>
          <w:color w:val="2A2620"/>
          <w:sz w:val="21"/>
          <w:szCs w:val="21"/>
        </w:rPr>
        <w:t xml:space="preserve">The Screening Agent checked Darb against every Charter criterion that applies to a private growth-equity opportunity. Five of six criteria pass outright; the sixth, sector concentration, is flagged rather than failed. The Charter treats a post-deal concentration breach as requiring explicit Investment Committee acknowledgement before the deal may advance further, not as an automatic decline; this acknowledgement is a required step, not a formality to be assumed.</w:t>
      </w:r>
    </w:p>
    <w:tbl>
      <w:tblPr>
        <w:tblW w:type="pct" w:w="100%"/>
        <w:tblBorders>
          <w:top w:val="single" w:color="B7AF9C" w:sz="4"/>
          <w:left w:val="single" w:color="B7AF9C" w:sz="4"/>
          <w:bottom w:val="single" w:color="B7AF9C" w:sz="4"/>
          <w:right w:val="single" w:color="B7AF9C" w:sz="4"/>
          <w:insideH w:val="single" w:color="D8D2C4" w:sz="4"/>
          <w:insideV w:val="single" w:color="D8D2C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A26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1E6"/>
                <w:sz w:val="19"/>
                <w:szCs w:val="19"/>
              </w:rPr>
              <w:t xml:space="preserve">Criterion</w:t>
            </w:r>
          </w:p>
        </w:tc>
        <w:tc>
          <w:tcPr>
            <w:tcW w:type="pct" w:w="12%"/>
            <w:shd w:fill="2A26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F1E6"/>
                <w:sz w:val="19"/>
                <w:szCs w:val="19"/>
              </w:rPr>
              <w:t xml:space="preserve">Verdict</w:t>
            </w:r>
          </w:p>
        </w:tc>
        <w:tc>
          <w:tcPr>
            <w:tcW w:type="pct" w:w="66%"/>
            <w:shd w:fill="2A26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F1E6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Sector mandate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PASS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Logistics SaaS falls within the Technology &amp; Consumer mandate.</w:t>
            </w:r>
          </w:p>
        </w:tc>
      </w:tr>
      <w:tr>
        <w:tc>
          <w:tcPr>
            <w:tcW w:type="pct" w:w="22%"/>
            <w:shd w:fill="FB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Ticket vs mandate</w:t>
            </w:r>
          </w:p>
        </w:tc>
        <w:tc>
          <w:tcPr>
            <w:tcW w:type="pct" w:w="12%"/>
            <w:shd w:fill="FB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PASS</w:t>
            </w:r>
          </w:p>
        </w:tc>
        <w:tc>
          <w:tcPr>
            <w:tcW w:type="pct" w:w="66%"/>
            <w:shd w:fill="FB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SAR 40M ask sits within the SAR 20-60M ticket band.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Stage fit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PASS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Series B falls within the mandated Series A-C stage window.</w:t>
            </w:r>
          </w:p>
        </w:tc>
      </w:tr>
      <w:tr>
        <w:tc>
          <w:tcPr>
            <w:tcW w:type="pct" w:w="22%"/>
            <w:shd w:fill="FB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Compliance pre-screen</w:t>
            </w:r>
          </w:p>
        </w:tc>
        <w:tc>
          <w:tcPr>
            <w:tcW w:type="pct" w:w="12%"/>
            <w:shd w:fill="FB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PASS</w:t>
            </w:r>
          </w:p>
        </w:tc>
        <w:tc>
          <w:tcPr>
            <w:tcW w:type="pct" w:w="66%"/>
            <w:shd w:fill="FB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Business activity eligible; no leverage red flags at pre-screen.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Concentration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WARN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Technology &amp; Consumer sector exposure at 8.5% of AUM; a SAR 40M ticket (2.0% of AUM) would bring post-deal sector exposure to 10.5%, above the 10% cap.</w:t>
            </w:r>
          </w:p>
        </w:tc>
      </w:tr>
      <w:tr>
        <w:tc>
          <w:tcPr>
            <w:tcW w:type="pct" w:w="22%"/>
            <w:shd w:fill="FB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Red flags</w:t>
            </w:r>
          </w:p>
        </w:tc>
        <w:tc>
          <w:tcPr>
            <w:tcW w:type="pct" w:w="12%"/>
            <w:shd w:fill="FB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PASS</w:t>
            </w:r>
          </w:p>
        </w:tc>
        <w:tc>
          <w:tcPr>
            <w:tcW w:type="pct" w:w="66%"/>
            <w:shd w:fill="FB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No sanctions, conflicts-of-interest, or related-party issues identified.</w:t>
            </w:r>
          </w:p>
        </w:tc>
      </w:tr>
    </w:tbl>
    <w:p>
      <w:pPr>
        <w:spacing w:after="200" w:before="40"/>
      </w:pPr>
      <w:r>
        <w:rPr>
          <w:rFonts w:ascii="Arial" w:cs="Arial" w:eastAsia="Arial" w:hAnsi="Arial"/>
          <w:i/>
          <w:iCs/>
          <w:color w:val="6B6455"/>
          <w:sz w:val="17"/>
          <w:szCs w:val="17"/>
        </w:rPr>
        <w:t xml:space="preserve">Source: Lunar IC Charter &amp; Investment Mandate, p.3; Source: Lunar IC Charter &amp; Investment Mandate, p.4; Source: Lunar IC Charter &amp; Investment Mandate, p.5.</w:t>
      </w:r>
    </w:p>
    <w:p>
      <w:pPr>
        <w:pBdr>
          <w:bottom w:val="single" w:color="D8D2C4" w:sz="4"/>
        </w:pBdr>
        <w:spacing w:after="90" w:before="220"/>
      </w:pPr>
      <w:r>
        <w:rPr>
          <w:rFonts w:ascii="Arial" w:cs="Arial" w:eastAsia="Arial" w:hAnsi="Arial"/>
          <w:b/>
          <w:bCs/>
          <w:color w:val="514B40"/>
          <w:sz w:val="24"/>
          <w:szCs w:val="24"/>
        </w:rPr>
        <w:t xml:space="preserve">Concentration detail</w:t>
      </w:r>
    </w:p>
    <w:p>
      <w:pPr>
        <w:spacing w:after="160" w:line="264"/>
        <w:jc w:val="both"/>
      </w:pPr>
      <w:r>
        <w:rPr>
          <w:rFonts w:ascii="Arial" w:cs="Arial" w:eastAsia="Arial" w:hAnsi="Arial"/>
          <w:color w:val="2A2620"/>
          <w:sz w:val="21"/>
          <w:szCs w:val="21"/>
        </w:rPr>
        <w:t xml:space="preserve">The Technology &amp; Consumer sector bucket currently sits at 8.5% of firm AUM. A SAR 40M ticket represents a further 2.0% of AUM, bringing post-deal sector exposure to 10.5%, above the Charter's 10% sector concentration cap. Per the Charter, this does not automatically fail the screen, but it requires explicit IC acknowledgement of the mandate breach before the deal may advance.</w:t>
      </w:r>
    </w:p>
    <w:p>
      <w:pPr>
        <w:spacing w:after="200" w:before="40"/>
      </w:pPr>
      <w:r>
        <w:rPr>
          <w:rFonts w:ascii="Arial" w:cs="Arial" w:eastAsia="Arial" w:hAnsi="Arial"/>
          <w:i/>
          <w:iCs/>
          <w:color w:val="6B6455"/>
          <w:sz w:val="17"/>
          <w:szCs w:val="17"/>
        </w:rPr>
        <w:t xml:space="preserve">Source: Lunar Current Portfolio Snapshot, p.1; Source: Lunar IC Charter &amp; Investment Mandate, p.4.</w:t>
      </w:r>
    </w:p>
    <w:p>
      <w:pPr>
        <w:pBdr>
          <w:bottom w:val="single" w:color="D8D2C4" w:sz="4"/>
        </w:pBdr>
        <w:spacing w:after="90" w:before="220"/>
      </w:pPr>
      <w:r>
        <w:rPr>
          <w:rFonts w:ascii="Arial" w:cs="Arial" w:eastAsia="Arial" w:hAnsi="Arial"/>
          <w:b/>
          <w:bCs/>
          <w:color w:val="514B40"/>
          <w:sz w:val="24"/>
          <w:szCs w:val="24"/>
        </w:rPr>
        <w:t xml:space="preserve">Red flags</w:t>
      </w:r>
    </w:p>
    <w:p>
      <w:pPr>
        <w:spacing w:after="160" w:line="264"/>
        <w:jc w:val="both"/>
      </w:pPr>
      <w:r>
        <w:rPr>
          <w:rFonts w:ascii="Arial" w:cs="Arial" w:eastAsia="Arial" w:hAnsi="Arial"/>
          <w:color w:val="2A2620"/>
          <w:sz w:val="21"/>
          <w:szCs w:val="21"/>
        </w:rPr>
        <w:t xml:space="preserve">No sanctions, conflicts-of-interest, or related-party issues were identified at the pre-screen stage.</w:t>
      </w:r>
    </w:p>
    <w:p>
      <w:pPr>
        <w:spacing w:after="0" w:before="220"/>
      </w:pPr>
    </w:p>
    <w:p>
      <w:pPr>
        <w:pStyle w:val="Heading1"/>
        <w:pBdr>
          <w:bottom w:val="single" w:color="B08D2A" w:sz="12"/>
        </w:pBdr>
        <w:shd w:fill="2A2620" w:color="auto" w:val="clear"/>
        <w:spacing w:after="240" w:before="90"/>
        <w:ind w:left="172"/>
      </w:pPr>
      <w:r>
        <w:rPr>
          <w:rFonts w:ascii="Georgia" w:cs="Georgia" w:eastAsia="Georgia" w:hAnsi="Georgia"/>
          <w:b/>
          <w:bCs/>
          <w:color w:val="F5F1E6"/>
          <w:sz w:val="28"/>
          <w:szCs w:val="28"/>
        </w:rPr>
        <w:t xml:space="preserve">Key Strengths and Concerns</w:t>
      </w:r>
    </w:p>
    <w:p>
      <w:pPr>
        <w:pBdr>
          <w:bottom w:val="single" w:color="D8D2C4" w:sz="4"/>
        </w:pBdr>
        <w:spacing w:after="90" w:before="220"/>
      </w:pPr>
      <w:r>
        <w:rPr>
          <w:rFonts w:ascii="Arial" w:cs="Arial" w:eastAsia="Arial" w:hAnsi="Arial"/>
          <w:b/>
          <w:bCs/>
          <w:color w:val="514B40"/>
          <w:sz w:val="24"/>
          <w:szCs w:val="24"/>
        </w:rPr>
        <w:t xml:space="preserve">Key strengths</w:t>
      </w:r>
    </w:p>
    <w:p>
      <w:pPr>
        <w:pStyle w:val="ListParagraph"/>
        <w:numPr>
          <w:ilvl w:val="0"/>
          <w:numId w:val="1"/>
        </w:numPr>
        <w:spacing w:after="110" w:line="256"/>
        <w:jc w:val="both"/>
      </w:pPr>
      <w:r>
        <w:rPr>
          <w:rFonts w:ascii="Arial" w:cs="Arial" w:eastAsia="Arial" w:hAnsi="Arial"/>
          <w:b/>
          <w:bCs/>
          <w:color w:val="2A2620"/>
          <w:sz w:val="21"/>
          <w:szCs w:val="21"/>
        </w:rPr>
        <w:t xml:space="preserve">Subscription SaaS on an asset-light model: </w:t>
      </w:r>
      <w:r>
        <w:rPr>
          <w:rFonts w:ascii="Arial" w:cs="Arial" w:eastAsia="Arial" w:hAnsi="Arial"/>
          <w:color w:val="2A2620"/>
          <w:sz w:val="21"/>
          <w:szCs w:val="21"/>
        </w:rPr>
        <w:t xml:space="preserve">The platform is deployed as subscription software layered on the customer's existing fleet, avoiding the asset-heavy economics of an owned-fleet delivery business; route optimization, fleet operations, carrier integrations and analytics sit in one dashboard and API layer.</w:t>
      </w:r>
    </w:p>
    <w:p>
      <w:pPr>
        <w:pStyle w:val="ListParagraph"/>
        <w:numPr>
          <w:ilvl w:val="0"/>
          <w:numId w:val="1"/>
        </w:numPr>
        <w:spacing w:after="110" w:line="256"/>
        <w:jc w:val="both"/>
      </w:pPr>
      <w:r>
        <w:rPr>
          <w:rFonts w:ascii="Arial" w:cs="Arial" w:eastAsia="Arial" w:hAnsi="Arial"/>
          <w:b/>
          <w:bCs/>
          <w:color w:val="2A2620"/>
          <w:sz w:val="21"/>
          <w:szCs w:val="21"/>
        </w:rPr>
        <w:t xml:space="preserve">Reported net revenue retention above 100%: </w:t>
      </w:r>
      <w:r>
        <w:rPr>
          <w:rFonts w:ascii="Arial" w:cs="Arial" w:eastAsia="Arial" w:hAnsi="Arial"/>
          <w:color w:val="2A2620"/>
          <w:sz w:val="21"/>
          <w:szCs w:val="21"/>
        </w:rPr>
        <w:t xml:space="preserve">Company-reported NRR of 118% in FY2025A and 124% guided for FY2026E indicates expansion within the existing customer base; durability has not been independently tested and is an open diligence item.</w:t>
      </w:r>
    </w:p>
    <w:p>
      <w:pPr>
        <w:pStyle w:val="ListParagraph"/>
        <w:numPr>
          <w:ilvl w:val="0"/>
          <w:numId w:val="1"/>
        </w:numPr>
        <w:spacing w:after="110" w:line="256"/>
        <w:jc w:val="both"/>
      </w:pPr>
      <w:r>
        <w:rPr>
          <w:rFonts w:ascii="Arial" w:cs="Arial" w:eastAsia="Arial" w:hAnsi="Arial"/>
          <w:b/>
          <w:bCs/>
          <w:color w:val="2A2620"/>
          <w:sz w:val="21"/>
          <w:szCs w:val="21"/>
        </w:rPr>
        <w:t xml:space="preserve">Reported growth with logo expansion: </w:t>
      </w:r>
      <w:r>
        <w:rPr>
          <w:rFonts w:ascii="Arial" w:cs="Arial" w:eastAsia="Arial" w:hAnsi="Arial"/>
          <w:color w:val="2A2620"/>
          <w:sz w:val="21"/>
          <w:szCs w:val="21"/>
        </w:rPr>
        <w:t xml:space="preserve">ARR is reported at SAR 18.2m for FY2025A with SAR 29.5m guided for FY2026E (+62% YoY), on logo growth from 34 to 52 active customers, at a 68% reported gross margin.</w:t>
      </w:r>
    </w:p>
    <w:p>
      <w:pPr>
        <w:pStyle w:val="ListParagraph"/>
        <w:numPr>
          <w:ilvl w:val="0"/>
          <w:numId w:val="1"/>
        </w:numPr>
        <w:spacing w:after="110" w:line="256"/>
        <w:jc w:val="both"/>
      </w:pPr>
      <w:r>
        <w:rPr>
          <w:rFonts w:ascii="Arial" w:cs="Arial" w:eastAsia="Arial" w:hAnsi="Arial"/>
          <w:b/>
          <w:bCs/>
          <w:color w:val="2A2620"/>
          <w:sz w:val="21"/>
          <w:szCs w:val="21"/>
        </w:rPr>
        <w:t xml:space="preserve">Policy-aligned market backdrop, as framed by management: </w:t>
      </w:r>
      <w:r>
        <w:rPr>
          <w:rFonts w:ascii="Arial" w:cs="Arial" w:eastAsia="Arial" w:hAnsi="Arial"/>
          <w:color w:val="2A2620"/>
          <w:sz w:val="21"/>
          <w:szCs w:val="21"/>
        </w:rPr>
        <w:t xml:space="preserve">Management frames the opportunity against growth in Saudi e-commerce and quick-commerce delivery volumes and the logistics-digitization push under Vision 2030's transport and logistics pillar; this is management's framing, presented as a judgment to be tested in diligence, not an independently verified market estimate.</w:t>
      </w:r>
    </w:p>
    <w:p>
      <w:pPr>
        <w:pBdr>
          <w:bottom w:val="single" w:color="D8D2C4" w:sz="4"/>
        </w:pBdr>
        <w:spacing w:after="90" w:before="220"/>
      </w:pPr>
      <w:r>
        <w:rPr>
          <w:rFonts w:ascii="Arial" w:cs="Arial" w:eastAsia="Arial" w:hAnsi="Arial"/>
          <w:b/>
          <w:bCs/>
          <w:color w:val="514B40"/>
          <w:sz w:val="24"/>
          <w:szCs w:val="24"/>
        </w:rPr>
        <w:t xml:space="preserve">Key concerns</w:t>
      </w:r>
    </w:p>
    <w:p>
      <w:pPr>
        <w:pStyle w:val="ListParagraph"/>
        <w:numPr>
          <w:ilvl w:val="0"/>
          <w:numId w:val="1"/>
        </w:numPr>
        <w:spacing w:after="110" w:line="256"/>
        <w:jc w:val="both"/>
      </w:pPr>
      <w:r>
        <w:rPr>
          <w:rFonts w:ascii="Arial" w:cs="Arial" w:eastAsia="Arial" w:hAnsi="Arial"/>
          <w:b/>
          <w:bCs/>
          <w:color w:val="2A2620"/>
          <w:sz w:val="21"/>
          <w:szCs w:val="21"/>
        </w:rPr>
        <w:t xml:space="preserve">Unaudited, company-reported figures: </w:t>
      </w:r>
      <w:r>
        <w:rPr>
          <w:rFonts w:ascii="Arial" w:cs="Arial" w:eastAsia="Arial" w:hAnsi="Arial"/>
          <w:color w:val="2A2620"/>
          <w:sz w:val="21"/>
          <w:szCs w:val="21"/>
        </w:rPr>
        <w:t xml:space="preserve">All financial figures in this memorandum are company-reported and unaudited; full audited or reviewed statements for FY2023-FY2025 are pending under NDA and are a required diligence item before any ticket is issued.</w:t>
      </w:r>
    </w:p>
    <w:p>
      <w:pPr>
        <w:pStyle w:val="ListParagraph"/>
        <w:numPr>
          <w:ilvl w:val="0"/>
          <w:numId w:val="1"/>
        </w:numPr>
        <w:spacing w:after="110" w:line="256"/>
        <w:jc w:val="both"/>
      </w:pPr>
      <w:r>
        <w:rPr>
          <w:rFonts w:ascii="Arial" w:cs="Arial" w:eastAsia="Arial" w:hAnsi="Arial"/>
          <w:b/>
          <w:bCs/>
          <w:color w:val="2A2620"/>
          <w:sz w:val="21"/>
          <w:szCs w:val="21"/>
        </w:rPr>
        <w:t xml:space="preserve">Customer concentration unknown: </w:t>
      </w:r>
      <w:r>
        <w:rPr>
          <w:rFonts w:ascii="Arial" w:cs="Arial" w:eastAsia="Arial" w:hAnsi="Arial"/>
          <w:color w:val="2A2620"/>
          <w:sz w:val="21"/>
          <w:szCs w:val="21"/>
        </w:rPr>
        <w:t xml:space="preserve">Concentration cannot be assessed until the full data room (customer contracts and cohort-level retention) is reviewed; the segment split shared at screening is anonymized.</w:t>
      </w:r>
    </w:p>
    <w:p>
      <w:pPr>
        <w:pStyle w:val="ListParagraph"/>
        <w:numPr>
          <w:ilvl w:val="0"/>
          <w:numId w:val="1"/>
        </w:numPr>
        <w:spacing w:after="110" w:line="256"/>
        <w:jc w:val="both"/>
      </w:pPr>
      <w:r>
        <w:rPr>
          <w:rFonts w:ascii="Arial" w:cs="Arial" w:eastAsia="Arial" w:hAnsi="Arial"/>
          <w:b/>
          <w:bCs/>
          <w:color w:val="2A2620"/>
          <w:sz w:val="21"/>
          <w:szCs w:val="21"/>
        </w:rPr>
        <w:t xml:space="preserve">Retention durability untested: </w:t>
      </w:r>
      <w:r>
        <w:rPr>
          <w:rFonts w:ascii="Arial" w:cs="Arial" w:eastAsia="Arial" w:hAnsi="Arial"/>
          <w:color w:val="2A2620"/>
          <w:sz w:val="21"/>
          <w:szCs w:val="21"/>
        </w:rPr>
        <w:t xml:space="preserve">Net revenue retention at 118-124% has not been independently tested against cohort-level churn data.</w:t>
      </w:r>
    </w:p>
    <w:p>
      <w:pPr>
        <w:pStyle w:val="ListParagraph"/>
        <w:numPr>
          <w:ilvl w:val="0"/>
          <w:numId w:val="1"/>
        </w:numPr>
        <w:spacing w:after="110" w:line="256"/>
        <w:jc w:val="both"/>
      </w:pPr>
      <w:r>
        <w:rPr>
          <w:rFonts w:ascii="Arial" w:cs="Arial" w:eastAsia="Arial" w:hAnsi="Arial"/>
          <w:b/>
          <w:bCs/>
          <w:color w:val="2A2620"/>
          <w:sz w:val="21"/>
          <w:szCs w:val="21"/>
        </w:rPr>
        <w:t xml:space="preserve">Competitive response from in-house tooling: </w:t>
      </w:r>
      <w:r>
        <w:rPr>
          <w:rFonts w:ascii="Arial" w:cs="Arial" w:eastAsia="Arial" w:hAnsi="Arial"/>
          <w:color w:val="2A2620"/>
          <w:sz w:val="21"/>
          <w:szCs w:val="21"/>
        </w:rPr>
        <w:t xml:space="preserve">In-house dispatch tooling built by large logistics operators and quick-commerce platforms is management's stated primary competitive risk, not yet independently assessed.</w:t>
      </w:r>
    </w:p>
    <w:p>
      <w:pPr>
        <w:pStyle w:val="ListParagraph"/>
        <w:numPr>
          <w:ilvl w:val="0"/>
          <w:numId w:val="1"/>
        </w:numPr>
        <w:spacing w:after="110" w:line="256"/>
        <w:jc w:val="both"/>
      </w:pPr>
      <w:r>
        <w:rPr>
          <w:rFonts w:ascii="Arial" w:cs="Arial" w:eastAsia="Arial" w:hAnsi="Arial"/>
          <w:b/>
          <w:bCs/>
          <w:color w:val="2A2620"/>
          <w:sz w:val="21"/>
          <w:szCs w:val="21"/>
        </w:rPr>
        <w:t xml:space="preserve">Sector concentration flag: </w:t>
      </w:r>
      <w:r>
        <w:rPr>
          <w:rFonts w:ascii="Arial" w:cs="Arial" w:eastAsia="Arial" w:hAnsi="Arial"/>
          <w:color w:val="2A2620"/>
          <w:sz w:val="21"/>
          <w:szCs w:val="21"/>
        </w:rPr>
        <w:t xml:space="preserve">Post-deal Technology &amp; Consumer exposure of 10.5% of AUM would sit above the Charter's 10% cap; the Charter requires explicit IC acknowledgement of the breach before the deal advances.</w:t>
      </w:r>
    </w:p>
    <w:p>
      <w:pPr>
        <w:spacing w:after="200" w:before="40"/>
      </w:pPr>
      <w:r>
        <w:rPr>
          <w:rFonts w:ascii="Arial" w:cs="Arial" w:eastAsia="Arial" w:hAnsi="Arial"/>
          <w:i/>
          <w:iCs/>
          <w:color w:val="6B6455"/>
          <w:sz w:val="17"/>
          <w:szCs w:val="17"/>
        </w:rPr>
        <w:t xml:space="preserve">Source: Darb Data Room · Screening Summary, p.3; Source: Darb Data Room · Screening Summary, p.6; Source: Lunar IC Charter &amp; Investment Mandate, p.4. Company-reported figures are unaudited at screening stage.</w:t>
      </w:r>
    </w:p>
    <w:p>
      <w:pPr>
        <w:spacing w:after="0" w:before="220"/>
      </w:pPr>
    </w:p>
    <w:p>
      <w:pPr>
        <w:pStyle w:val="Heading1"/>
        <w:pBdr>
          <w:bottom w:val="single" w:color="B08D2A" w:sz="12"/>
        </w:pBdr>
        <w:shd w:fill="2A2620" w:color="auto" w:val="clear"/>
        <w:spacing w:after="240" w:before="90"/>
        <w:ind w:left="172"/>
      </w:pPr>
      <w:r>
        <w:rPr>
          <w:rFonts w:ascii="Georgia" w:cs="Georgia" w:eastAsia="Georgia" w:hAnsi="Georgia"/>
          <w:b/>
          <w:bCs/>
          <w:color w:val="F5F1E6"/>
          <w:sz w:val="28"/>
          <w:szCs w:val="28"/>
        </w:rPr>
        <w:t xml:space="preserve">Company and Market Overview</w:t>
      </w:r>
    </w:p>
    <w:p>
      <w:pPr>
        <w:pBdr>
          <w:bottom w:val="single" w:color="D8D2C4" w:sz="4"/>
        </w:pBdr>
        <w:spacing w:after="90" w:before="220"/>
      </w:pPr>
      <w:r>
        <w:rPr>
          <w:rFonts w:ascii="Arial" w:cs="Arial" w:eastAsia="Arial" w:hAnsi="Arial"/>
          <w:b/>
          <w:bCs/>
          <w:color w:val="514B40"/>
          <w:sz w:val="24"/>
          <w:szCs w:val="24"/>
        </w:rPr>
        <w:t xml:space="preserve">Company overview</w:t>
      </w:r>
    </w:p>
    <w:p>
      <w:pPr>
        <w:spacing w:after="160" w:line="264"/>
        <w:jc w:val="both"/>
      </w:pPr>
      <w:r>
        <w:rPr>
          <w:rFonts w:ascii="Arial" w:cs="Arial" w:eastAsia="Arial" w:hAnsi="Arial"/>
          <w:color w:val="2A2620"/>
          <w:sz w:val="21"/>
          <w:szCs w:val="21"/>
        </w:rPr>
        <w:t xml:space="preserve">Darb builds fleet- and route-optimization software for last-mile and middle-mile logistics operators in the Kingdom. The platform sits between shippers and carrier fleets, providing route planning, real-time tracking, proof-of-delivery, and carrier-performance analytics through a single dashboard and API layer. The product is deployed as subscription SaaS layered on the customer's existing fleet, avoiding the asset-heavy economics of an owned-fleet delivery business.</w:t>
      </w:r>
    </w:p>
    <w:p>
      <w:pPr>
        <w:pBdr>
          <w:bottom w:val="single" w:color="D8D2C4" w:sz="4"/>
        </w:pBdr>
        <w:spacing w:after="90" w:before="220"/>
      </w:pPr>
      <w:r>
        <w:rPr>
          <w:rFonts w:ascii="Arial" w:cs="Arial" w:eastAsia="Arial" w:hAnsi="Arial"/>
          <w:b/>
          <w:bCs/>
          <w:color w:val="514B40"/>
          <w:sz w:val="24"/>
          <w:szCs w:val="24"/>
        </w:rPr>
        <w:t xml:space="preserve">Product surface</w:t>
      </w:r>
    </w:p>
    <w:p>
      <w:pPr>
        <w:pStyle w:val="ListParagraph"/>
        <w:numPr>
          <w:ilvl w:val="0"/>
          <w:numId w:val="1"/>
        </w:numPr>
        <w:spacing w:after="100" w:line="256"/>
        <w:jc w:val="both"/>
      </w:pPr>
      <w:r>
        <w:rPr>
          <w:rFonts w:ascii="Arial" w:cs="Arial" w:eastAsia="Arial" w:hAnsi="Arial"/>
          <w:color w:val="2A2620"/>
          <w:sz w:val="21"/>
          <w:szCs w:val="21"/>
        </w:rPr>
        <w:t xml:space="preserve">Route Optimization Engine, dynamic routing across driver fleets</w:t>
      </w:r>
    </w:p>
    <w:p>
      <w:pPr>
        <w:pStyle w:val="ListParagraph"/>
        <w:numPr>
          <w:ilvl w:val="0"/>
          <w:numId w:val="1"/>
        </w:numPr>
        <w:spacing w:after="100" w:line="256"/>
        <w:jc w:val="both"/>
      </w:pPr>
      <w:r>
        <w:rPr>
          <w:rFonts w:ascii="Arial" w:cs="Arial" w:eastAsia="Arial" w:hAnsi="Arial"/>
          <w:color w:val="2A2620"/>
          <w:sz w:val="21"/>
          <w:szCs w:val="21"/>
        </w:rPr>
        <w:t xml:space="preserve">Fleet Ops Dashboard, live tracking, proof-of-delivery, exception management</w:t>
      </w:r>
    </w:p>
    <w:p>
      <w:pPr>
        <w:pStyle w:val="ListParagraph"/>
        <w:numPr>
          <w:ilvl w:val="0"/>
          <w:numId w:val="1"/>
        </w:numPr>
        <w:spacing w:after="100" w:line="256"/>
        <w:jc w:val="both"/>
      </w:pPr>
      <w:r>
        <w:rPr>
          <w:rFonts w:ascii="Arial" w:cs="Arial" w:eastAsia="Arial" w:hAnsi="Arial"/>
          <w:color w:val="2A2620"/>
          <w:sz w:val="21"/>
          <w:szCs w:val="21"/>
        </w:rPr>
        <w:t xml:space="preserve">Carrier API, integration layer for third-party carrier networks and quick-commerce platforms</w:t>
      </w:r>
    </w:p>
    <w:p>
      <w:pPr>
        <w:pStyle w:val="ListParagraph"/>
        <w:numPr>
          <w:ilvl w:val="0"/>
          <w:numId w:val="1"/>
        </w:numPr>
        <w:spacing w:after="100" w:line="256"/>
        <w:jc w:val="both"/>
      </w:pPr>
      <w:r>
        <w:rPr>
          <w:rFonts w:ascii="Arial" w:cs="Arial" w:eastAsia="Arial" w:hAnsi="Arial"/>
          <w:color w:val="2A2620"/>
          <w:sz w:val="21"/>
          <w:szCs w:val="21"/>
        </w:rPr>
        <w:t xml:space="preserve">Analytics Suite, delivery SLA, cost-per-order, and carrier-performance reporting</w:t>
      </w:r>
    </w:p>
    <w:p>
      <w:pPr>
        <w:pBdr>
          <w:bottom w:val="single" w:color="D8D2C4" w:sz="4"/>
        </w:pBdr>
        <w:spacing w:after="90" w:before="220"/>
      </w:pPr>
      <w:r>
        <w:rPr>
          <w:rFonts w:ascii="Arial" w:cs="Arial" w:eastAsia="Arial" w:hAnsi="Arial"/>
          <w:b/>
          <w:bCs/>
          <w:color w:val="514B40"/>
          <w:sz w:val="24"/>
          <w:szCs w:val="24"/>
        </w:rPr>
        <w:t xml:space="preserve">Market backdrop</w:t>
      </w:r>
    </w:p>
    <w:p>
      <w:pPr>
        <w:spacing w:after="160" w:line="264"/>
        <w:jc w:val="both"/>
      </w:pPr>
      <w:r>
        <w:rPr>
          <w:rFonts w:ascii="Arial" w:cs="Arial" w:eastAsia="Arial" w:hAnsi="Arial"/>
          <w:color w:val="2A2620"/>
          <w:sz w:val="21"/>
          <w:szCs w:val="21"/>
        </w:rPr>
        <w:t xml:space="preserve">Management frames the opportunity against rapid growth in Saudi e-commerce and quick-commerce delivery volumes, and the broader push toward logistics-sector digitization under Vision 2030's transport and logistics pillar. This is management's framing of the opportunity, presented here as a judgment to be tested in diligence, not an independently verified market estimate.</w:t>
      </w:r>
    </w:p>
    <w:p>
      <w:pPr>
        <w:spacing w:after="200" w:before="40"/>
      </w:pPr>
      <w:r>
        <w:rPr>
          <w:rFonts w:ascii="Arial" w:cs="Arial" w:eastAsia="Arial" w:hAnsi="Arial"/>
          <w:i/>
          <w:iCs/>
          <w:color w:val="6B6455"/>
          <w:sz w:val="17"/>
          <w:szCs w:val="17"/>
        </w:rPr>
        <w:t xml:space="preserve">Source: Darb Data Room · Screening Summary, p.2</w:t>
      </w:r>
    </w:p>
    <w:p>
      <w:pPr>
        <w:pBdr>
          <w:bottom w:val="single" w:color="D8D2C4" w:sz="4"/>
        </w:pBdr>
        <w:spacing w:after="90" w:before="220"/>
      </w:pPr>
      <w:r>
        <w:rPr>
          <w:rFonts w:ascii="Arial" w:cs="Arial" w:eastAsia="Arial" w:hAnsi="Arial"/>
          <w:b/>
          <w:bCs/>
          <w:color w:val="514B40"/>
          <w:sz w:val="24"/>
          <w:szCs w:val="24"/>
        </w:rPr>
        <w:t xml:space="preserve">Founding team</w:t>
      </w:r>
    </w:p>
    <w:p>
      <w:pPr>
        <w:pStyle w:val="ListParagraph"/>
        <w:numPr>
          <w:ilvl w:val="0"/>
          <w:numId w:val="1"/>
        </w:numPr>
        <w:spacing w:after="110" w:line="256"/>
        <w:jc w:val="both"/>
      </w:pPr>
      <w:r>
        <w:rPr>
          <w:rFonts w:ascii="Arial" w:cs="Arial" w:eastAsia="Arial" w:hAnsi="Arial"/>
          <w:b/>
          <w:bCs/>
          <w:color w:val="2A2620"/>
          <w:sz w:val="21"/>
          <w:szCs w:val="21"/>
        </w:rPr>
        <w:t xml:space="preserve">Faisal Al-Otaibi, Co-founder &amp; CEO: </w:t>
      </w:r>
      <w:r>
        <w:rPr>
          <w:rFonts w:ascii="Arial" w:cs="Arial" w:eastAsia="Arial" w:hAnsi="Arial"/>
          <w:color w:val="2A2620"/>
          <w:sz w:val="21"/>
          <w:szCs w:val="21"/>
        </w:rPr>
        <w:t xml:space="preserve">Former operations lead at a Riyadh-based quick-commerce platform, where he built the last-mile dispatch system that Darb's routing engine is descended from. Industrial engineering background, King Saud University.</w:t>
      </w:r>
    </w:p>
    <w:p>
      <w:pPr>
        <w:pStyle w:val="ListParagraph"/>
        <w:numPr>
          <w:ilvl w:val="0"/>
          <w:numId w:val="1"/>
        </w:numPr>
        <w:spacing w:after="110" w:line="256"/>
        <w:jc w:val="both"/>
      </w:pPr>
      <w:r>
        <w:rPr>
          <w:rFonts w:ascii="Arial" w:cs="Arial" w:eastAsia="Arial" w:hAnsi="Arial"/>
          <w:b/>
          <w:bCs/>
          <w:color w:val="2A2620"/>
          <w:sz w:val="21"/>
          <w:szCs w:val="21"/>
        </w:rPr>
        <w:t xml:space="preserve">Nourah Al-Harbi, Co-founder &amp; CTO: </w:t>
      </w:r>
      <w:r>
        <w:rPr>
          <w:rFonts w:ascii="Arial" w:cs="Arial" w:eastAsia="Arial" w:hAnsi="Arial"/>
          <w:color w:val="2A2620"/>
          <w:sz w:val="21"/>
          <w:szCs w:val="21"/>
        </w:rPr>
        <w:t xml:space="preserve">Previously a senior backend engineer on a regional ride-hailing platform's logistics team. Led Darb's API and carrier-integration architecture from day one. Computer science background, KFUPM.</w:t>
      </w:r>
    </w:p>
    <w:p>
      <w:pPr>
        <w:pStyle w:val="ListParagraph"/>
        <w:numPr>
          <w:ilvl w:val="0"/>
          <w:numId w:val="1"/>
        </w:numPr>
        <w:spacing w:after="110" w:line="256"/>
        <w:jc w:val="both"/>
      </w:pPr>
      <w:r>
        <w:rPr>
          <w:rFonts w:ascii="Arial" w:cs="Arial" w:eastAsia="Arial" w:hAnsi="Arial"/>
          <w:b/>
          <w:bCs/>
          <w:color w:val="2A2620"/>
          <w:sz w:val="21"/>
          <w:szCs w:val="21"/>
        </w:rPr>
        <w:t xml:space="preserve">Khalid Al-Dossari, Co-founder &amp; Head of Revenue: </w:t>
      </w:r>
      <w:r>
        <w:rPr>
          <w:rFonts w:ascii="Arial" w:cs="Arial" w:eastAsia="Arial" w:hAnsi="Arial"/>
          <w:color w:val="2A2620"/>
          <w:sz w:val="21"/>
          <w:szCs w:val="21"/>
        </w:rPr>
        <w:t xml:space="preserve">Ten years in enterprise SaaS sales across the GCC prior to Darb, most recently running mid-market sales for a regional fleet-management vendor. Owns Darb's enterprise and quick-commerce partnership pipeline.</w:t>
      </w:r>
    </w:p>
    <w:p>
      <w:pPr>
        <w:spacing w:after="200" w:before="40"/>
      </w:pPr>
      <w:r>
        <w:rPr>
          <w:rFonts w:ascii="Arial" w:cs="Arial" w:eastAsia="Arial" w:hAnsi="Arial"/>
          <w:i/>
          <w:iCs/>
          <w:color w:val="6B6455"/>
          <w:sz w:val="17"/>
          <w:szCs w:val="17"/>
        </w:rPr>
        <w:t xml:space="preserve">Source: Darb Data Room · Screening Summary, p.4</w:t>
      </w:r>
    </w:p>
    <w:p>
      <w:pPr>
        <w:spacing w:after="0" w:before="220"/>
      </w:pPr>
    </w:p>
    <w:p>
      <w:pPr>
        <w:pStyle w:val="Heading1"/>
        <w:pBdr>
          <w:bottom w:val="single" w:color="B08D2A" w:sz="12"/>
        </w:pBdr>
        <w:shd w:fill="2A2620" w:color="auto" w:val="clear"/>
        <w:spacing w:after="240" w:before="90"/>
        <w:ind w:left="172"/>
      </w:pPr>
      <w:r>
        <w:rPr>
          <w:rFonts w:ascii="Georgia" w:cs="Georgia" w:eastAsia="Georgia" w:hAnsi="Georgia"/>
          <w:b/>
          <w:bCs/>
          <w:color w:val="F5F1E6"/>
          <w:sz w:val="28"/>
          <w:szCs w:val="28"/>
        </w:rPr>
        <w:t xml:space="preserve">Financial Summary and Use of Proceeds</w:t>
      </w:r>
    </w:p>
    <w:p>
      <w:pPr>
        <w:spacing w:after="160" w:line="264"/>
        <w:jc w:val="both"/>
      </w:pPr>
      <w:r>
        <w:rPr>
          <w:rFonts w:ascii="Arial" w:cs="Arial" w:eastAsia="Arial" w:hAnsi="Arial"/>
          <w:color w:val="2A2620"/>
          <w:sz w:val="21"/>
          <w:szCs w:val="21"/>
        </w:rPr>
        <w:t xml:space="preserve">The figures below are Darb's own reporting, unaudited, as shared at the screening stage. Full audited or reviewed financial statements for FY2023-FY2025 sit in the data room under NDA and are a required diligence item before any ticket is issued.</w:t>
      </w:r>
    </w:p>
    <w:tbl>
      <w:tblPr>
        <w:tblW w:type="pct" w:w="100%"/>
        <w:tblBorders>
          <w:top w:val="single" w:color="B7AF9C" w:sz="4"/>
          <w:left w:val="single" w:color="B7AF9C" w:sz="4"/>
          <w:bottom w:val="single" w:color="B7AF9C" w:sz="4"/>
          <w:right w:val="single" w:color="B7AF9C" w:sz="4"/>
          <w:insideH w:val="single" w:color="D8D2C4" w:sz="4"/>
          <w:insideV w:val="single" w:color="D8D2C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2A26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1E6"/>
                <w:sz w:val="19"/>
                <w:szCs w:val="19"/>
              </w:rPr>
              <w:t xml:space="preserve">Metric</w:t>
            </w:r>
          </w:p>
        </w:tc>
        <w:tc>
          <w:tcPr>
            <w:tcW w:type="pct" w:w="30%"/>
            <w:shd w:fill="2A26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F1E6"/>
                <w:sz w:val="19"/>
                <w:szCs w:val="19"/>
              </w:rPr>
              <w:t xml:space="preserve">FY2025A</w:t>
            </w:r>
          </w:p>
        </w:tc>
        <w:tc>
          <w:tcPr>
            <w:tcW w:type="pct" w:w="30%"/>
            <w:shd w:fill="2A26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F1E6"/>
                <w:sz w:val="19"/>
                <w:szCs w:val="19"/>
              </w:rPr>
              <w:t xml:space="preserve">FY2026E</w:t>
            </w:r>
          </w:p>
        </w:tc>
      </w:tr>
      <w:t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Annual Recurring Revenue (ARR)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SAR 18.2m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SAR 29.5m</w:t>
            </w:r>
          </w:p>
        </w:tc>
      </w:tr>
      <w:tr>
        <w:tc>
          <w:tcPr>
            <w:tcW w:type="pct" w:w="40%"/>
            <w:shd w:fill="FB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YoY ARR growth</w:t>
            </w:r>
          </w:p>
        </w:tc>
        <w:tc>
          <w:tcPr>
            <w:tcW w:type="pct" w:w="30%"/>
            <w:shd w:fill="FB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–</w:t>
            </w:r>
          </w:p>
        </w:tc>
        <w:tc>
          <w:tcPr>
            <w:tcW w:type="pct" w:w="30%"/>
            <w:shd w:fill="FB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62%</w:t>
            </w:r>
          </w:p>
        </w:tc>
      </w:tr>
      <w:t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Gross margin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68%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71%</w:t>
            </w:r>
          </w:p>
        </w:tc>
      </w:tr>
      <w:tr>
        <w:tc>
          <w:tcPr>
            <w:tcW w:type="pct" w:w="40%"/>
            <w:shd w:fill="FB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Net revenue retention (NRR)</w:t>
            </w:r>
          </w:p>
        </w:tc>
        <w:tc>
          <w:tcPr>
            <w:tcW w:type="pct" w:w="30%"/>
            <w:shd w:fill="FB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118%</w:t>
            </w:r>
          </w:p>
        </w:tc>
        <w:tc>
          <w:tcPr>
            <w:tcW w:type="pct" w:w="30%"/>
            <w:shd w:fill="FB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124%</w:t>
            </w:r>
          </w:p>
        </w:tc>
      </w:tr>
      <w:t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Logo count (active customers)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34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52</w:t>
            </w:r>
          </w:p>
        </w:tc>
      </w:tr>
      <w:tr>
        <w:tc>
          <w:tcPr>
            <w:tcW w:type="pct" w:w="40%"/>
            <w:shd w:fill="FB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Monthly cash burn (avg.)</w:t>
            </w:r>
          </w:p>
        </w:tc>
        <w:tc>
          <w:tcPr>
            <w:tcW w:type="pct" w:w="30%"/>
            <w:shd w:fill="FB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SAR 1.4m</w:t>
            </w:r>
          </w:p>
        </w:tc>
        <w:tc>
          <w:tcPr>
            <w:tcW w:type="pct" w:w="30%"/>
            <w:shd w:fill="FB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Cash runway at close (post-round)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–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~24 months</w:t>
            </w:r>
          </w:p>
        </w:tc>
      </w:tr>
    </w:tbl>
    <w:p>
      <w:pPr>
        <w:spacing w:after="200" w:before="40"/>
      </w:pPr>
      <w:r>
        <w:rPr>
          <w:rFonts w:ascii="Arial" w:cs="Arial" w:eastAsia="Arial" w:hAnsi="Arial"/>
          <w:i/>
          <w:iCs/>
          <w:color w:val="6B6455"/>
          <w:sz w:val="17"/>
          <w:szCs w:val="17"/>
        </w:rPr>
        <w:t xml:space="preserve">Source: Darb Data Room · Screening Summary, p.3. Company-reported and unaudited at screening stage.</w:t>
      </w:r>
    </w:p>
    <w:p>
      <w:pPr>
        <w:pBdr>
          <w:bottom w:val="single" w:color="D8D2C4" w:sz="4"/>
        </w:pBdr>
        <w:spacing w:after="90" w:before="220"/>
      </w:pPr>
      <w:r>
        <w:rPr>
          <w:rFonts w:ascii="Arial" w:cs="Arial" w:eastAsia="Arial" w:hAnsi="Arial"/>
          <w:b/>
          <w:bCs/>
          <w:color w:val="514B40"/>
          <w:sz w:val="24"/>
          <w:szCs w:val="24"/>
        </w:rPr>
        <w:t xml:space="preserve">Use of proceeds</w:t>
      </w:r>
    </w:p>
    <w:p>
      <w:pPr>
        <w:spacing w:after="160" w:line="264"/>
        <w:jc w:val="both"/>
      </w:pPr>
      <w:r>
        <w:rPr>
          <w:rFonts w:ascii="Arial" w:cs="Arial" w:eastAsia="Arial" w:hAnsi="Arial"/>
          <w:color w:val="2A2620"/>
          <w:sz w:val="21"/>
          <w:szCs w:val="21"/>
        </w:rPr>
        <w:t xml:space="preserve">Management indicates the SAR 40M Series B is earmarked roughly 55% for go-to-market expansion (enterprise sales, quick-commerce partnerships), 30% for product and engineering headcount, and 15% for working capital and runway extension.</w:t>
      </w:r>
    </w:p>
    <w:p>
      <w:pPr>
        <w:spacing w:after="200" w:before="40"/>
      </w:pPr>
      <w:r>
        <w:rPr>
          <w:rFonts w:ascii="Arial" w:cs="Arial" w:eastAsia="Arial" w:hAnsi="Arial"/>
          <w:i/>
          <w:iCs/>
          <w:color w:val="6B6455"/>
          <w:sz w:val="17"/>
          <w:szCs w:val="17"/>
        </w:rPr>
        <w:t xml:space="preserve">Source: Darb Data Room · Screening Summary, p.3</w:t>
      </w:r>
    </w:p>
    <w:p>
      <w:pPr>
        <w:spacing w:after="0" w:before="220"/>
      </w:pPr>
    </w:p>
    <w:p>
      <w:pPr>
        <w:pStyle w:val="Heading1"/>
        <w:pBdr>
          <w:bottom w:val="single" w:color="B08D2A" w:sz="12"/>
        </w:pBdr>
        <w:shd w:fill="2A2620" w:color="auto" w:val="clear"/>
        <w:spacing w:after="240" w:before="90"/>
        <w:ind w:left="172"/>
      </w:pPr>
      <w:r>
        <w:rPr>
          <w:rFonts w:ascii="Georgia" w:cs="Georgia" w:eastAsia="Georgia" w:hAnsi="Georgia"/>
          <w:b/>
          <w:bCs/>
          <w:color w:val="F5F1E6"/>
          <w:sz w:val="28"/>
          <w:szCs w:val="28"/>
        </w:rPr>
        <w:t xml:space="preserve">Appendix: Sources</w:t>
      </w:r>
    </w:p>
    <w:p>
      <w:pPr>
        <w:spacing w:after="160" w:line="264"/>
        <w:jc w:val="both"/>
      </w:pPr>
      <w:r>
        <w:rPr>
          <w:rFonts w:ascii="Arial" w:cs="Arial" w:eastAsia="Arial" w:hAnsi="Arial"/>
          <w:color w:val="2A2620"/>
          <w:sz w:val="21"/>
          <w:szCs w:val="21"/>
        </w:rPr>
        <w:t xml:space="preserve">Every source document actually cited in this memo, with the pages the cited figures or facts came from.</w:t>
      </w:r>
    </w:p>
    <w:tbl>
      <w:tblPr>
        <w:tblW w:type="pct" w:w="100%"/>
        <w:tblBorders>
          <w:top w:val="single" w:color="B7AF9C" w:sz="4"/>
          <w:left w:val="single" w:color="B7AF9C" w:sz="4"/>
          <w:bottom w:val="single" w:color="B7AF9C" w:sz="4"/>
          <w:right w:val="single" w:color="B7AF9C" w:sz="4"/>
          <w:insideH w:val="single" w:color="D8D2C4" w:sz="4"/>
          <w:insideV w:val="single" w:color="D8D2C4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shd w:fill="2A26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1E6"/>
                <w:sz w:val="19"/>
                <w:szCs w:val="19"/>
              </w:rPr>
              <w:t xml:space="preserve">Document</w:t>
            </w:r>
          </w:p>
        </w:tc>
        <w:tc>
          <w:tcPr>
            <w:tcW w:type="pct" w:w="30%"/>
            <w:shd w:fill="2A262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F1E6"/>
                <w:sz w:val="19"/>
                <w:szCs w:val="19"/>
              </w:rPr>
              <w:t xml:space="preserve">Pages cited</w:t>
            </w:r>
          </w:p>
        </w:tc>
      </w:tr>
      <w:tr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Darb Data Room · Screening Summary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p.1, p.2, p.3, p.4</w:t>
            </w:r>
          </w:p>
        </w:tc>
      </w:tr>
      <w:tr>
        <w:tc>
          <w:tcPr>
            <w:tcW w:type="pct" w:w="70%"/>
            <w:shd w:fill="FB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Lunar Current Portfolio Snapshot</w:t>
            </w:r>
          </w:p>
        </w:tc>
        <w:tc>
          <w:tcPr>
            <w:tcW w:type="pct" w:w="30%"/>
            <w:shd w:fill="FBF9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p.1</w:t>
            </w:r>
          </w:p>
        </w:tc>
      </w:tr>
      <w:tr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Lunar IC Charter &amp; Investment Mandate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620"/>
                <w:sz w:val="19"/>
                <w:szCs w:val="19"/>
              </w:rPr>
              <w:t xml:space="preserve">p.3, p.4, p.5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8" w:h="16833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4" w:sz="4"/>
      </w:pBdr>
      <w:spacing w:before="60"/>
    </w:pPr>
    <w:r>
      <w:rPr>
        <w:rFonts w:ascii="Arial" w:cs="Arial" w:eastAsia="Arial" w:hAnsi="Arial"/>
        <w:i/>
        <w:iCs/>
        <w:color w:val="6B6455"/>
        <w:sz w:val="16"/>
        <w:szCs w:val="16"/>
      </w:rPr>
      <w:t xml:space="preserve">Prepared by Faheem for Lunar Investments, Advisory only. Not investment advice.</w:t>
    </w:r>
  </w:p>
  <w:p>
    <w:pPr>
      <w:jc w:val="right"/>
    </w:pPr>
    <w:r>
      <w:rPr>
        <w:rFonts w:ascii="Arial" w:cs="Arial" w:eastAsia="Arial" w:hAnsi="Arial"/>
        <w:color w:val="6B6455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2A" w:sz="6"/>
      </w:pBdr>
      <w:tabs>
        <w:tab w:val="right" w:pos="9360"/>
      </w:tabs>
      <w:spacing w:after="60"/>
    </w:pPr>
    <w:r>
      <w:rPr>
        <w:rFonts w:ascii="Arial" w:cs="Arial" w:eastAsia="Arial" w:hAnsi="Arial"/>
        <w:b/>
        <w:bCs/>
        <w:color w:val="514B40"/>
        <w:sz w:val="17"/>
        <w:szCs w:val="17"/>
      </w:rPr>
      <w:t xml:space="preserve">LUNAR INVESTMENTS</w:t>
    </w:r>
    <w:r>
      <w:rPr>
        <w:rFonts w:ascii="Arial" w:cs="Arial" w:eastAsia="Arial" w:hAnsi="Arial"/>
        <w:i/>
        <w:iCs/>
        <w:color w:val="6B6455"/>
        <w:sz w:val="17"/>
        <w:szCs w:val="17"/>
      </w:rPr>
      <w:t xml:space="preserve">	Screening Memorandum, Darb Logistics Technology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Darb Logistics Technology, Screening Memorandum</dc:title>
  <dc:subject>Darb Logistics Technology, Series B screening</dc:subject>
  <dc:creator>Faheem</dc:creator>
  <dc:description>Lunar Investments screening memo, advisory only, generated by Faheem</dc:description>
  <cp:lastModifiedBy>Un-named</cp:lastModifiedBy>
  <cp:revision>1</cp:revision>
  <dcterms:created xsi:type="dcterms:W3CDTF">2026-07-17T08:11:02.428Z</dcterms:created>
  <dcterms:modified xsi:type="dcterms:W3CDTF">2026-07-17T08:11:02.428Z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