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</w:p>
    <w:p>
      <w:pPr>
        <w:shd w:fill="2A2620" w:color="auto" w:val="clear"/>
        <w:spacing w:after="240" w:before="180"/>
        <w:ind w:left="431"/>
      </w:pPr>
      <w:r>
        <w:rPr>
          <w:rFonts w:ascii="Georgia" w:cs="Georgia" w:eastAsia="Georgia" w:hAnsi="Georgia"/>
          <w:b/>
          <w:bCs/>
          <w:i w:val="false"/>
          <w:iCs w:val="false"/>
          <w:color w:val="F5F1E6"/>
          <w:sz w:val="60"/>
          <w:szCs w:val="60"/>
        </w:rPr>
        <w:t xml:space="preserve">LUNAR INVESTMENTS</w:t>
      </w:r>
    </w:p>
    <w:p>
      <w:pPr>
        <w:shd w:fill="2A2620" w:color="auto" w:val="clear"/>
        <w:spacing w:after="108" w:before="78"/>
        <w:ind w:left="431"/>
      </w:pPr>
      <w:r>
        <w:rPr>
          <w:rFonts w:ascii="Georgia" w:cs="Georgia" w:eastAsia="Georgia" w:hAnsi="Georgia"/>
          <w:b/>
          <w:bCs/>
          <w:i/>
          <w:iCs/>
          <w:color w:val="B08D2A"/>
          <w:sz w:val="26"/>
          <w:szCs w:val="26"/>
        </w:rPr>
        <w:t xml:space="preserve">Private Growth Equity, Deal Screening</w:t>
      </w:r>
    </w:p>
    <w:p>
      <w:pPr>
        <w:shd w:fill="2A2620" w:color="auto" w:val="clear"/>
        <w:spacing w:after="298" w:before="78"/>
        <w:ind w:left="431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F5F1E6"/>
          <w:sz w:val="26"/>
          <w:szCs w:val="26"/>
        </w:rPr>
        <w:t xml:space="preserve">Darb Logistics Technology: Screening Memorandum for the Investment Committee</w:t>
      </w:r>
    </w:p>
    <w:p>
      <w:pPr>
        <w:spacing w:after="200" w:before="160"/>
        <w:jc w:val="center"/>
      </w:pPr>
      <w:r>
        <w:rPr>
          <w:rFonts w:ascii="Arial" w:cs="Arial" w:eastAsia="Arial" w:hAnsi="Arial"/>
          <w:b/>
          <w:bCs/>
          <w:color w:val="6B6455"/>
          <w:sz w:val="17"/>
          <w:szCs w:val="17"/>
        </w:rPr>
        <w:t xml:space="preserve">PRIVILEGED &amp; CONFIDENTIAL · PREPARED FOR THE INVESTMENT COMMITTEE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A2620"/>
          <w:sz w:val="40"/>
          <w:szCs w:val="40"/>
        </w:rPr>
        <w:t xml:space="preserve">Screening Outcome: Advance to Pitch Meeting</w:t>
      </w:r>
    </w:p>
    <w:p>
      <w:pPr>
        <w:spacing w:after="240"/>
        <w:jc w:val="center"/>
      </w:pPr>
      <w:r>
        <w:rPr>
          <w:rFonts w:ascii="Arial" w:cs="Arial" w:eastAsia="Arial" w:hAnsi="Arial"/>
          <w:color w:val="514B40"/>
          <w:sz w:val="23"/>
          <w:szCs w:val="23"/>
        </w:rPr>
        <w:t xml:space="preserve">5 of 6 Charter criteria pass · 1 concentration flag requiring IC acknowledgement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Company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Darb Logistics Technology</w:t>
            </w:r>
          </w:p>
        </w:tc>
        <w:tc>
          <w:tcPr>
            <w:tcW w:type="pct" w:w="18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Sector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Logistics SaaS</w:t>
            </w:r>
          </w:p>
        </w:tc>
      </w:tr>
      <w:tr>
        <w:tc>
          <w:tcPr>
            <w:tcW w:type="pct" w:w="18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Transaction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Series B · primary</w:t>
            </w:r>
          </w:p>
        </w:tc>
        <w:tc>
          <w:tcPr>
            <w:tcW w:type="pct" w:w="18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Ask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40M</w:t>
            </w:r>
          </w:p>
        </w:tc>
      </w:tr>
      <w:tr>
        <w:tc>
          <w:tcPr>
            <w:tcW w:type="pct" w:w="18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Geography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Riyadh, Saudi Arabia</w:t>
            </w:r>
          </w:p>
        </w:tc>
        <w:tc>
          <w:tcPr>
            <w:tcW w:type="pct" w:w="18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Founded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2022</w:t>
            </w:r>
          </w:p>
        </w:tc>
      </w:tr>
      <w:tr>
        <w:tc>
          <w:tcPr>
            <w:tcW w:type="pct" w:w="18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ARR (FY2025A)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18.2m (company-reported)</w:t>
            </w:r>
          </w:p>
        </w:tc>
        <w:tc>
          <w:tcPr>
            <w:tcW w:type="pct" w:w="18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ARR (FY2026E)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29.5m guided</w:t>
            </w:r>
          </w:p>
        </w:tc>
      </w:tr>
      <w:tr>
        <w:tc>
          <w:tcPr>
            <w:tcW w:type="pct" w:w="18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NRR (FY2025A)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118%</w:t>
            </w:r>
          </w:p>
        </w:tc>
        <w:tc>
          <w:tcPr>
            <w:tcW w:type="pct" w:w="18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Runway at close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~24 months</w:t>
            </w:r>
          </w:p>
        </w:tc>
      </w:tr>
      <w:tr>
        <w:tc>
          <w:tcPr>
            <w:tcW w:type="pct" w:w="18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Screening result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5 of 6 pass · 1 flag</w:t>
            </w:r>
          </w:p>
        </w:tc>
        <w:tc>
          <w:tcPr>
            <w:tcW w:type="pct" w:w="18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Compliance pre-screen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</w:tr>
    </w:tbl>
    <w:p>
      <w:pPr>
        <w:spacing w:after="200" w:before="260"/>
        <w:jc w:val="center"/>
      </w:pPr>
      <w:r>
        <w:rPr>
          <w:rFonts w:ascii="Arial" w:cs="Arial" w:eastAsia="Arial" w:hAnsi="Arial"/>
          <w:color w:val="6B6455"/>
          <w:sz w:val="17"/>
          <w:szCs w:val="17"/>
        </w:rPr>
        <w:t xml:space="preserve">Contents: Executive Summary · Screening Outcome vs the IC Charter · Key Strengths and Concerns · Company and Market Overview · Financial Summary and Use of Proceeds · Sources</w:t>
      </w:r>
    </w:p>
    <w:p>
      <w:pPr>
        <w:pBdr>
          <w:top w:val="single" w:color="B08D2A" w:sz="6"/>
          <w:bottom w:val="single" w:color="B08D2A" w:sz="6"/>
        </w:pBdr>
        <w:spacing w:after="200" w:before="200"/>
        <w:jc w:val="center"/>
      </w:pPr>
      <w:r>
        <w:rPr>
          <w:rFonts w:ascii="Arial" w:cs="Arial" w:eastAsia="Arial" w:hAnsi="Arial"/>
          <w:i/>
          <w:iCs/>
          <w:color w:val="6B6455"/>
          <w:sz w:val="20"/>
          <w:szCs w:val="20"/>
        </w:rPr>
        <w:t xml:space="preserve">A screening outcome only, the investment decision rests with the Investment Committee.</w:t>
      </w:r>
    </w:p>
    <w:p>
      <w:pPr>
        <w:spacing w:before="320"/>
        <w:jc w:val="center"/>
      </w:pPr>
      <w:r>
        <w:rPr>
          <w:rFonts w:ascii="Arial" w:cs="Arial" w:eastAsia="Arial" w:hAnsi="Arial"/>
          <w:color w:val="6B6455"/>
          <w:sz w:val="19"/>
          <w:szCs w:val="19"/>
        </w:rPr>
        <w:t xml:space="preserve">Prepared by Faheem for Lunar Investments · 15 July 2026</w:t>
      </w:r>
    </w:p>
    <w:p>
      <w:pPr>
        <w:pageBreakBefore/>
      </w:pPr>
    </w:p>
    <w:p>
      <w:pPr>
        <w:spacing w:after="0" w:before="220"/>
      </w:pPr>
    </w:p>
    <w:p>
      <w:pPr>
        <w:pStyle w:val="Heading1"/>
        <w:pBdr>
          <w:bottom w:val="single" w:color="B08D2A" w:sz="12"/>
        </w:pBdr>
        <w:shd w:fill="2A2620" w:color="auto" w:val="clear"/>
        <w:spacing w:after="240" w:before="90"/>
        <w:ind w:left="172"/>
      </w:pPr>
      <w:r>
        <w:rPr>
          <w:rFonts w:ascii="Georgia" w:cs="Georgia" w:eastAsia="Georgia" w:hAnsi="Georgia"/>
          <w:b/>
          <w:bCs/>
          <w:color w:val="F5F1E6"/>
          <w:sz w:val="28"/>
          <w:szCs w:val="28"/>
        </w:rPr>
        <w:t xml:space="preserve">Executive Summary</w:t>
      </w:r>
    </w:p>
    <w:p>
      <w:pPr>
        <w:pStyle w:val="ListParagraph"/>
        <w:numPr>
          <w:ilvl w:val="0"/>
          <w:numId w:val="1"/>
        </w:numPr>
        <w:spacing w:after="100" w:line="256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Darb Logistics Technology is a Riyadh-based logistics SaaS company, founded in 2022, providing route optimization, live fleet operations, a carrier API layer and delivery analytics to last-mile and middle-mile operators; the product is subscription software deployed on the customer's existing fleet.</w:t>
      </w:r>
    </w:p>
    <w:p>
      <w:pPr>
        <w:pStyle w:val="ListParagraph"/>
        <w:numPr>
          <w:ilvl w:val="0"/>
          <w:numId w:val="1"/>
        </w:numPr>
        <w:spacing w:after="100" w:line="256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inbound opportunity is a SAR 40M Series B, sourced via founder outreach to Lunar's private growth-equity desk.</w:t>
      </w:r>
    </w:p>
    <w:p>
      <w:pPr>
        <w:pStyle w:val="ListParagraph"/>
        <w:numPr>
          <w:ilvl w:val="0"/>
          <w:numId w:val="1"/>
        </w:numPr>
        <w:spacing w:after="100" w:line="256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Company-reported, unaudited figures show ARR of SAR 18.2m in FY2025A and SAR 29.5m guided for FY2026E (+62% YoY), gross margin of 68%, and net revenue retention of 118%.</w:t>
      </w:r>
    </w:p>
    <w:p>
      <w:pPr>
        <w:pStyle w:val="ListParagraph"/>
        <w:numPr>
          <w:ilvl w:val="0"/>
          <w:numId w:val="1"/>
        </w:numPr>
        <w:spacing w:after="100" w:line="256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Management indicates proceeds are earmarked roughly 55% for go-to-market expansion, 30% for product and engineering headcount, and 15% for working capital; post-round cash runway is guided at ~24 months.</w:t>
      </w:r>
    </w:p>
    <w:p>
      <w:pPr>
        <w:pStyle w:val="ListParagraph"/>
        <w:numPr>
          <w:ilvl w:val="0"/>
          <w:numId w:val="1"/>
        </w:numPr>
        <w:spacing w:after="100" w:line="256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Mandate screening against the Lunar IC Charter: five of six criteria pass outright; sector concentration is flagged, post-deal Technology &amp; Consumer exposure of 10.5% of firm AUM would exceed the Charter's 10% cap and requires explicit Investment Committee acknowledgement before the deal advances.</w:t>
      </w:r>
    </w:p>
    <w:p>
      <w:pPr>
        <w:pStyle w:val="ListParagraph"/>
        <w:numPr>
          <w:ilvl w:val="0"/>
          <w:numId w:val="1"/>
        </w:numPr>
        <w:spacing w:after="100" w:line="256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No sanctions, conflicts-of-interest, or related-party issues were identified at the pre-screen stage; the compliance pre-screen passes.</w:t>
      </w:r>
    </w:p>
    <w:p>
      <w:pPr>
        <w:pStyle w:val="ListParagraph"/>
        <w:numPr>
          <w:ilvl w:val="0"/>
          <w:numId w:val="1"/>
        </w:numPr>
        <w:spacing w:after="100" w:line="256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All figures in this memorandum are screening-stage and unaudited: audited FY2023-FY2025 statements, customer contracts, and cohort-level retention data are required diligence items under NDA.</w:t>
      </w:r>
    </w:p>
    <w:p>
      <w:pPr>
        <w:pStyle w:val="ListParagraph"/>
        <w:numPr>
          <w:ilvl w:val="0"/>
          <w:numId w:val="1"/>
        </w:numPr>
        <w:spacing w:after="100" w:line="256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This memorandum reports a screening outcome, not an investment recommendation; advancing past screening and any subsequent investment decision rest with the Investment Committee.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p.1; Source: Darb Data Room · Screening Summary, p.3; Source: Lunar IC Charter &amp; Investment Mandate, p.3.</w:t>
      </w:r>
    </w:p>
    <w:p>
      <w:pPr>
        <w:spacing w:after="0" w:before="220"/>
      </w:pPr>
    </w:p>
    <w:p>
      <w:pPr>
        <w:pStyle w:val="Heading1"/>
        <w:pBdr>
          <w:bottom w:val="single" w:color="B08D2A" w:sz="12"/>
        </w:pBdr>
        <w:shd w:fill="2A2620" w:color="auto" w:val="clear"/>
        <w:spacing w:after="240" w:before="90"/>
        <w:ind w:left="172"/>
      </w:pPr>
      <w:r>
        <w:rPr>
          <w:rFonts w:ascii="Georgia" w:cs="Georgia" w:eastAsia="Georgia" w:hAnsi="Georgia"/>
          <w:b/>
          <w:bCs/>
          <w:color w:val="F5F1E6"/>
          <w:sz w:val="28"/>
          <w:szCs w:val="28"/>
        </w:rPr>
        <w:t xml:space="preserve">Screening Outcome vs the IC Charter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This memorandum summarizes the initial mandate screening of Darb Logistics Technology, an inbound Series B opportunity, against the Lunar Investments IC Charter. It is a screening-stage document: it establishes whether the opportunity clears the firm's baseline mandate criteria, not a full investment analysis.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Screening Agent checked Darb against every Charter criterion that applies to a private growth-equity opportunity. Five of six criteria pass outright; the sixth, sector concentration, is flagged rather than failed. The Charter treats a post-deal concentration breach as requiring explicit Investment Committee acknowledgement before the deal may advance further, not as an automatic decline; this acknowledgement is a required step, not a formality to be assumed.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Criterion</w:t>
            </w:r>
          </w:p>
        </w:tc>
        <w:tc>
          <w:tcPr>
            <w:tcW w:type="pct" w:w="12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Verdict</w:t>
            </w:r>
          </w:p>
        </w:tc>
        <w:tc>
          <w:tcPr>
            <w:tcW w:type="pct" w:w="66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Sector mandate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Logistics SaaS falls within the Technology &amp; Consumer mandate.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Ticket vs mandate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40M ask sits within the SAR 20-60M ticket band.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Stage fit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Series B falls within the mandated Series A-C stage window.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Compliance pre-screen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Business activity eligible; no leverage red flags at pre-screen.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Concentration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WARN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Technology &amp; Consumer sector exposure at 8.5% of AUM; a SAR 40M ticket (2.0% of AUM) would bring post-deal sector exposure to 10.5%, above the 10% cap.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Red flags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No sanctions, conflicts-of-interest, or related-party issues identified.</w:t>
            </w:r>
          </w:p>
        </w:tc>
      </w:tr>
    </w:tbl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Lunar IC Charter &amp; Investment Mandate, p.3; Source: Lunar IC Charter &amp; Investment Mandate, p.4; Source: Lunar IC Charter &amp; Investment Mandate, p.5.</w:t>
      </w:r>
    </w:p>
    <w:p>
      <w:pPr>
        <w:pBdr>
          <w:bottom w:val="single" w:color="D8D2C4" w:sz="4"/>
        </w:pBd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Concentration detail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Technology &amp; Consumer sector bucket currently sits at 8.5% of firm AUM. A SAR 40M ticket represents a further 2.0% of AUM, bringing post-deal sector exposure to 10.5%, above the Charter's 10% sector concentration cap. Per the Charter, this does not automatically fail the screen, but it requires explicit IC acknowledgement of the mandate breach before the deal may advance.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Lunar Current Portfolio Snapshot, p.1; Source: Lunar IC Charter &amp; Investment Mandate, p.4.</w:t>
      </w:r>
    </w:p>
    <w:p>
      <w:pPr>
        <w:pBdr>
          <w:bottom w:val="single" w:color="D8D2C4" w:sz="4"/>
        </w:pBd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Red flags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No sanctions, conflicts-of-interest, or related-party issues were identified at the pre-screen stage.</w:t>
      </w:r>
    </w:p>
    <w:p>
      <w:pPr>
        <w:spacing w:after="0" w:before="220"/>
      </w:pPr>
    </w:p>
    <w:p>
      <w:pPr>
        <w:pStyle w:val="Heading1"/>
        <w:pBdr>
          <w:bottom w:val="single" w:color="B08D2A" w:sz="12"/>
        </w:pBdr>
        <w:shd w:fill="2A2620" w:color="auto" w:val="clear"/>
        <w:spacing w:after="240" w:before="90"/>
        <w:ind w:left="172"/>
      </w:pPr>
      <w:r>
        <w:rPr>
          <w:rFonts w:ascii="Georgia" w:cs="Georgia" w:eastAsia="Georgia" w:hAnsi="Georgia"/>
          <w:b/>
          <w:bCs/>
          <w:color w:val="F5F1E6"/>
          <w:sz w:val="28"/>
          <w:szCs w:val="28"/>
        </w:rPr>
        <w:t xml:space="preserve">Key Strengths and Concerns</w:t>
      </w:r>
    </w:p>
    <w:p>
      <w:pPr>
        <w:pBdr>
          <w:bottom w:val="single" w:color="D8D2C4" w:sz="4"/>
        </w:pBd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Key strengths</w:t>
      </w:r>
    </w:p>
    <w:p>
      <w:pPr>
        <w:pStyle w:val="ListParagraph"/>
        <w:numPr>
          <w:ilvl w:val="0"/>
          <w:numId w:val="1"/>
        </w:numPr>
        <w:spacing w:after="110" w:line="256"/>
        <w:jc w:val="both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Subscription SaaS on an asset-light model: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The platform is deployed as subscription software layered on the customer's existing fleet, avoiding the asset-heavy economics of an owned-fleet delivery business; route optimization, fleet operations, carrier integrations and analytics sit in one dashboard and API layer.</w:t>
      </w:r>
    </w:p>
    <w:p>
      <w:pPr>
        <w:pStyle w:val="ListParagraph"/>
        <w:numPr>
          <w:ilvl w:val="0"/>
          <w:numId w:val="1"/>
        </w:numPr>
        <w:spacing w:after="110" w:line="256"/>
        <w:jc w:val="both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Reported net revenue retention above 100%: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Company-reported NRR of 118% in FY2025A and 124% guided for FY2026E indicates expansion within the existing customer base; durability has not been independently tested and is an open diligence item.</w:t>
      </w:r>
    </w:p>
    <w:p>
      <w:pPr>
        <w:pStyle w:val="ListParagraph"/>
        <w:numPr>
          <w:ilvl w:val="0"/>
          <w:numId w:val="1"/>
        </w:numPr>
        <w:spacing w:after="110" w:line="256"/>
        <w:jc w:val="both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Reported growth with logo expansion: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ARR is reported at SAR 18.2m for FY2025A with SAR 29.5m guided for FY2026E (+62% YoY), on logo growth from 34 to 52 active customers, at a 68% reported gross margin.</w:t>
      </w:r>
    </w:p>
    <w:p>
      <w:pPr>
        <w:pStyle w:val="ListParagraph"/>
        <w:numPr>
          <w:ilvl w:val="0"/>
          <w:numId w:val="1"/>
        </w:numPr>
        <w:spacing w:after="110" w:line="256"/>
        <w:jc w:val="both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Policy-aligned market backdrop, as framed by management: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Management frames the opportunity against growth in Saudi e-commerce and quick-commerce delivery volumes and the logistics-digitization push under Vision 2030's transport and logistics pillar; this is management's framing, presented as a judgment to be tested in diligence, not an independently verified market estimate.</w:t>
      </w:r>
    </w:p>
    <w:p>
      <w:pPr>
        <w:pBdr>
          <w:bottom w:val="single" w:color="D8D2C4" w:sz="4"/>
        </w:pBd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Key concerns</w:t>
      </w:r>
    </w:p>
    <w:p>
      <w:pPr>
        <w:pStyle w:val="ListParagraph"/>
        <w:numPr>
          <w:ilvl w:val="0"/>
          <w:numId w:val="1"/>
        </w:numPr>
        <w:spacing w:after="110" w:line="256"/>
        <w:jc w:val="both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Unaudited, company-reported figures: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All financial figures in this memorandum are company-reported and unaudited; full audited or reviewed statements for FY2023-FY2025 are pending under NDA and are a required diligence item before any ticket is issued.</w:t>
      </w:r>
    </w:p>
    <w:p>
      <w:pPr>
        <w:pStyle w:val="ListParagraph"/>
        <w:numPr>
          <w:ilvl w:val="0"/>
          <w:numId w:val="1"/>
        </w:numPr>
        <w:spacing w:after="110" w:line="256"/>
        <w:jc w:val="both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Customer concentration unknown: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Concentration cannot be assessed until the full data room (customer contracts and cohort-level retention) is reviewed; the segment split shared at screening is anonymized.</w:t>
      </w:r>
    </w:p>
    <w:p>
      <w:pPr>
        <w:pStyle w:val="ListParagraph"/>
        <w:numPr>
          <w:ilvl w:val="0"/>
          <w:numId w:val="1"/>
        </w:numPr>
        <w:spacing w:after="110" w:line="256"/>
        <w:jc w:val="both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Retention durability untested: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Net revenue retention at 118-124% has not been independently tested against cohort-level churn data.</w:t>
      </w:r>
    </w:p>
    <w:p>
      <w:pPr>
        <w:pStyle w:val="ListParagraph"/>
        <w:numPr>
          <w:ilvl w:val="0"/>
          <w:numId w:val="1"/>
        </w:numPr>
        <w:spacing w:after="110" w:line="256"/>
        <w:jc w:val="both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Competitive response from in-house tooling: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In-house dispatch tooling built by large logistics operators and quick-commerce platforms is management's stated primary competitive risk, not yet independently assessed.</w:t>
      </w:r>
    </w:p>
    <w:p>
      <w:pPr>
        <w:pStyle w:val="ListParagraph"/>
        <w:numPr>
          <w:ilvl w:val="0"/>
          <w:numId w:val="1"/>
        </w:numPr>
        <w:spacing w:after="110" w:line="256"/>
        <w:jc w:val="both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Sector concentration flag: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Post-deal Technology &amp; Consumer exposure of 10.5% of AUM would sit above the Charter's 10% cap; the Charter requires explicit IC acknowledgement of the breach before the deal advances.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p.3; Source: Darb Data Room · Screening Summary, p.6; Source: Lunar IC Charter &amp; Investment Mandate, p.4. Company-reported figures are unaudited at screening stage.</w:t>
      </w:r>
    </w:p>
    <w:p>
      <w:pPr>
        <w:spacing w:after="0" w:before="220"/>
      </w:pPr>
    </w:p>
    <w:p>
      <w:pPr>
        <w:pStyle w:val="Heading1"/>
        <w:pBdr>
          <w:bottom w:val="single" w:color="B08D2A" w:sz="12"/>
        </w:pBdr>
        <w:shd w:fill="2A2620" w:color="auto" w:val="clear"/>
        <w:spacing w:after="240" w:before="90"/>
        <w:ind w:left="172"/>
      </w:pPr>
      <w:r>
        <w:rPr>
          <w:rFonts w:ascii="Georgia" w:cs="Georgia" w:eastAsia="Georgia" w:hAnsi="Georgia"/>
          <w:b/>
          <w:bCs/>
          <w:color w:val="F5F1E6"/>
          <w:sz w:val="28"/>
          <w:szCs w:val="28"/>
        </w:rPr>
        <w:t xml:space="preserve">Company and Market Overview</w:t>
      </w:r>
    </w:p>
    <w:p>
      <w:pPr>
        <w:pBdr>
          <w:bottom w:val="single" w:color="D8D2C4" w:sz="4"/>
        </w:pBd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Company overview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Darb builds fleet- and route-optimization software for last-mile and middle-mile logistics operators in the Kingdom. The platform sits between shippers and carrier fleets, providing route planning, real-time tracking, proof-of-delivery, and carrier-performance analytics through a single dashboard and API layer. The product is deployed as subscription SaaS layered on the customer's existing fleet, avoiding the asset-heavy economics of an owned-fleet delivery business.</w:t>
      </w:r>
    </w:p>
    <w:p>
      <w:pPr>
        <w:pBdr>
          <w:bottom w:val="single" w:color="D8D2C4" w:sz="4"/>
        </w:pBd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Product surface</w:t>
      </w:r>
    </w:p>
    <w:p>
      <w:pPr>
        <w:pStyle w:val="ListParagraph"/>
        <w:numPr>
          <w:ilvl w:val="0"/>
          <w:numId w:val="1"/>
        </w:numPr>
        <w:spacing w:after="100" w:line="256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Route Optimization Engine, dynamic routing across driver fleets</w:t>
      </w:r>
    </w:p>
    <w:p>
      <w:pPr>
        <w:pStyle w:val="ListParagraph"/>
        <w:numPr>
          <w:ilvl w:val="0"/>
          <w:numId w:val="1"/>
        </w:numPr>
        <w:spacing w:after="100" w:line="256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Fleet Ops Dashboard, live tracking, proof-of-delivery, exception management</w:t>
      </w:r>
    </w:p>
    <w:p>
      <w:pPr>
        <w:pStyle w:val="ListParagraph"/>
        <w:numPr>
          <w:ilvl w:val="0"/>
          <w:numId w:val="1"/>
        </w:numPr>
        <w:spacing w:after="100" w:line="256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Carrier API, integration layer for third-party carrier networks and quick-commerce platforms</w:t>
      </w:r>
    </w:p>
    <w:p>
      <w:pPr>
        <w:pStyle w:val="ListParagraph"/>
        <w:numPr>
          <w:ilvl w:val="0"/>
          <w:numId w:val="1"/>
        </w:numPr>
        <w:spacing w:after="100" w:line="256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Analytics Suite, delivery SLA, cost-per-order, and carrier-performance reporting</w:t>
      </w:r>
    </w:p>
    <w:p>
      <w:pPr>
        <w:pBdr>
          <w:bottom w:val="single" w:color="D8D2C4" w:sz="4"/>
        </w:pBd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Market backdrop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Management frames the opportunity against rapid growth in Saudi e-commerce and quick-commerce delivery volumes, and the broader push toward logistics-sector digitization under Vision 2030's transport and logistics pillar. This is management's framing of the opportunity, presented here as a judgment to be tested in diligence, not an independently verified market estimate.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p.2</w:t>
      </w:r>
    </w:p>
    <w:p>
      <w:pPr>
        <w:pBdr>
          <w:bottom w:val="single" w:color="D8D2C4" w:sz="4"/>
        </w:pBd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Founding team</w:t>
      </w:r>
    </w:p>
    <w:p>
      <w:pPr>
        <w:pStyle w:val="ListParagraph"/>
        <w:numPr>
          <w:ilvl w:val="0"/>
          <w:numId w:val="1"/>
        </w:numPr>
        <w:spacing w:after="110" w:line="256"/>
        <w:jc w:val="both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Faisal Al-Otaibi, Co-founder &amp; CEO: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Former operations lead at a Riyadh-based quick-commerce platform, where he built the last-mile dispatch system that Darb's routing engine is descended from. Industrial engineering background, King Saud University.</w:t>
      </w:r>
    </w:p>
    <w:p>
      <w:pPr>
        <w:pStyle w:val="ListParagraph"/>
        <w:numPr>
          <w:ilvl w:val="0"/>
          <w:numId w:val="1"/>
        </w:numPr>
        <w:spacing w:after="110" w:line="256"/>
        <w:jc w:val="both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Nourah Al-Harbi, Co-founder &amp; CTO: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Previously a senior backend engineer on a regional ride-hailing platform's logistics team. Led Darb's API and carrier-integration architecture from day one. Computer science background, KFUPM.</w:t>
      </w:r>
    </w:p>
    <w:p>
      <w:pPr>
        <w:pStyle w:val="ListParagraph"/>
        <w:numPr>
          <w:ilvl w:val="0"/>
          <w:numId w:val="1"/>
        </w:numPr>
        <w:spacing w:after="110" w:line="256"/>
        <w:jc w:val="both"/>
      </w:pPr>
      <w:r>
        <w:rPr>
          <w:rFonts w:ascii="Arial" w:cs="Arial" w:eastAsia="Arial" w:hAnsi="Arial"/>
          <w:b/>
          <w:bCs/>
          <w:color w:val="2A2620"/>
          <w:sz w:val="21"/>
          <w:szCs w:val="21"/>
        </w:rPr>
        <w:t xml:space="preserve">Khalid Al-Dossari, Co-founder &amp; Head of Revenue: </w:t>
      </w:r>
      <w:r>
        <w:rPr>
          <w:rFonts w:ascii="Arial" w:cs="Arial" w:eastAsia="Arial" w:hAnsi="Arial"/>
          <w:color w:val="2A2620"/>
          <w:sz w:val="21"/>
          <w:szCs w:val="21"/>
        </w:rPr>
        <w:t xml:space="preserve">Ten years in enterprise SaaS sales across the GCC prior to Darb, most recently running mid-market sales for a regional fleet-management vendor. Owns Darb's enterprise and quick-commerce partnership pipeline.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p.4</w:t>
      </w:r>
    </w:p>
    <w:p>
      <w:pPr>
        <w:spacing w:after="0" w:before="220"/>
      </w:pPr>
    </w:p>
    <w:p>
      <w:pPr>
        <w:pStyle w:val="Heading1"/>
        <w:pBdr>
          <w:bottom w:val="single" w:color="B08D2A" w:sz="12"/>
        </w:pBdr>
        <w:shd w:fill="2A2620" w:color="auto" w:val="clear"/>
        <w:spacing w:after="240" w:before="90"/>
        <w:ind w:left="172"/>
      </w:pPr>
      <w:r>
        <w:rPr>
          <w:rFonts w:ascii="Georgia" w:cs="Georgia" w:eastAsia="Georgia" w:hAnsi="Georgia"/>
          <w:b/>
          <w:bCs/>
          <w:color w:val="F5F1E6"/>
          <w:sz w:val="28"/>
          <w:szCs w:val="28"/>
        </w:rPr>
        <w:t xml:space="preserve">Financial Summary and Use of Proceeds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figures below are Darb's own reporting, unaudited, as shared at the screening stage. Full audited or reviewed financial statements for FY2023-FY2025 sit in the data room under NDA and are a required diligence item before any ticket is issued.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Metric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FY2025A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FY2026E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Annual Recurring Revenue (ARR)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18.2m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29.5m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YoY ARR growth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62%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Gross margin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68%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71%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Net revenue retention (NRR)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118%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124%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Logo count (active customers)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34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52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Monthly cash burn (avg.)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1.4m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Cash runway at close (post-round)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~24 months</w:t>
            </w:r>
          </w:p>
        </w:tc>
      </w:tr>
    </w:tbl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p.3. Company-reported and unaudited at screening stage.</w:t>
      </w:r>
    </w:p>
    <w:p>
      <w:pPr>
        <w:pBdr>
          <w:bottom w:val="single" w:color="D8D2C4" w:sz="4"/>
        </w:pBd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Use of proceeds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Management indicates the SAR 40M Series B is earmarked roughly 55% for go-to-market expansion (enterprise sales, quick-commerce partnerships), 30% for product and engineering headcount, and 15% for working capital and runway extension.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p.3</w:t>
      </w:r>
    </w:p>
    <w:p>
      <w:pPr>
        <w:spacing w:after="0" w:before="220"/>
      </w:pPr>
    </w:p>
    <w:p>
      <w:pPr>
        <w:pStyle w:val="Heading1"/>
        <w:pBdr>
          <w:bottom w:val="single" w:color="B08D2A" w:sz="12"/>
        </w:pBdr>
        <w:shd w:fill="2A2620" w:color="auto" w:val="clear"/>
        <w:spacing w:after="240" w:before="90"/>
        <w:ind w:left="172"/>
      </w:pPr>
      <w:r>
        <w:rPr>
          <w:rFonts w:ascii="Georgia" w:cs="Georgia" w:eastAsia="Georgia" w:hAnsi="Georgia"/>
          <w:b/>
          <w:bCs/>
          <w:color w:val="F5F1E6"/>
          <w:sz w:val="28"/>
          <w:szCs w:val="28"/>
        </w:rPr>
        <w:t xml:space="preserve">Appendix: Sources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Every source document actually cited in this memo, with the pages the cited figures or facts came from.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Document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Pages cited</w:t>
            </w:r>
          </w:p>
        </w:tc>
      </w:tr>
      <w:tr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Darb Data Room · Screening Summary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p.1, p.2, p.3, p.4</w:t>
            </w:r>
          </w:p>
        </w:tc>
      </w:tr>
      <w:tr>
        <w:tc>
          <w:tcPr>
            <w:tcW w:type="pct" w:w="7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Lunar Current Portfolio Snapshot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p.1</w:t>
            </w:r>
          </w:p>
        </w:tc>
      </w:tr>
      <w:tr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Lunar IC Charter &amp; Investment Mandate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p.3, p.4, p.5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8" w:h="16833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4" w:sz="4"/>
      </w:pBdr>
      <w:spacing w:before="60"/>
    </w:pPr>
    <w:r>
      <w:rPr>
        <w:rFonts w:ascii="Arial" w:cs="Arial" w:eastAsia="Arial" w:hAnsi="Arial"/>
        <w:i/>
        <w:iCs/>
        <w:color w:val="6B6455"/>
        <w:sz w:val="16"/>
        <w:szCs w:val="16"/>
      </w:rPr>
      <w:t xml:space="preserve">Prepared by Faheem for Lunar Investments, Advisory only. Not investment advice.</w:t>
    </w:r>
  </w:p>
  <w:p>
    <w:pPr>
      <w:jc w:val="right"/>
    </w:pPr>
    <w:r>
      <w:rPr>
        <w:rFonts w:ascii="Arial" w:cs="Arial" w:eastAsia="Arial" w:hAnsi="Arial"/>
        <w:color w:val="6B6455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08D2A" w:sz="6"/>
      </w:pBdr>
      <w:tabs>
        <w:tab w:val="right" w:pos="9360"/>
      </w:tabs>
      <w:spacing w:after="60"/>
    </w:pPr>
    <w:r>
      <w:rPr>
        <w:rFonts w:ascii="Arial" w:cs="Arial" w:eastAsia="Arial" w:hAnsi="Arial"/>
        <w:b/>
        <w:bCs/>
        <w:color w:val="514B40"/>
        <w:sz w:val="17"/>
        <w:szCs w:val="17"/>
      </w:rPr>
      <w:t xml:space="preserve">LUNAR INVESTMENTS</w:t>
    </w:r>
    <w:r>
      <w:rPr>
        <w:rFonts w:ascii="Arial" w:cs="Arial" w:eastAsia="Arial" w:hAnsi="Arial"/>
        <w:i/>
        <w:iCs/>
        <w:color w:val="6B6455"/>
        <w:sz w:val="17"/>
        <w:szCs w:val="17"/>
      </w:rPr>
      <w:t xml:space="preserve">	Screening Memorandum, Darb Logistics Technology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Darb Logistics Technology, Screening Memorandum</dc:title>
  <dc:subject>Darb Logistics Technology, Series B screening</dc:subject>
  <dc:creator>Faheem</dc:creator>
  <dc:description>Lunar Investments screening memo, advisory only, generated by Faheem</dc:description>
  <cp:lastModifiedBy>Un-named</cp:lastModifiedBy>
  <cp:revision>1</cp:revision>
  <dcterms:created xsi:type="dcterms:W3CDTF">2026-07-17T06:59:18.772Z</dcterms:created>
  <dcterms:modified xsi:type="dcterms:W3CDTF">2026-07-17T06:59:18.772Z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