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p>
    <w:p>
      <w:pPr>
        <w:shd w:fill="2A2620" w:color="auto" w:val="clear"/>
        <w:spacing w:after="240" w:before="180"/>
        <w:ind w:left="431"/>
      </w:pPr>
      <w:r>
        <w:rPr>
          <w:rFonts w:ascii="Georgia" w:cs="Georgia" w:eastAsia="Georgia" w:hAnsi="Georgia"/>
          <w:b/>
          <w:bCs/>
          <w:i w:val="false"/>
          <w:iCs w:val="false"/>
          <w:color w:val="F5F1E6"/>
          <w:sz w:val="60"/>
          <w:szCs w:val="60"/>
        </w:rPr>
        <w:t xml:space="preserve">LUNAR INVESTMENTS</w:t>
      </w:r>
    </w:p>
    <w:p>
      <w:pPr>
        <w:shd w:fill="2A2620" w:color="auto" w:val="clear"/>
        <w:spacing w:after="108" w:before="78"/>
        <w:ind w:left="431"/>
      </w:pPr>
      <w:r>
        <w:rPr>
          <w:rFonts w:ascii="Georgia" w:cs="Georgia" w:eastAsia="Georgia" w:hAnsi="Georgia"/>
          <w:b/>
          <w:bCs/>
          <w:i/>
          <w:iCs/>
          <w:color w:val="B08D2A"/>
          <w:sz w:val="26"/>
          <w:szCs w:val="26"/>
        </w:rPr>
        <w:t xml:space="preserve">Equity Research · Investment Committee Memorandum</w:t>
      </w:r>
    </w:p>
    <w:p>
      <w:pPr>
        <w:shd w:fill="2A2620" w:color="auto" w:val="clear"/>
        <w:spacing w:after="298" w:before="78"/>
        <w:ind w:left="431"/>
      </w:pPr>
      <w:r>
        <w:rPr>
          <w:rFonts w:ascii="Georgia" w:cs="Georgia" w:eastAsia="Georgia" w:hAnsi="Georgia"/>
          <w:b w:val="false"/>
          <w:bCs w:val="false"/>
          <w:i w:val="false"/>
          <w:iCs w:val="false"/>
          <w:color w:val="F5F1E6"/>
          <w:sz w:val="26"/>
          <w:szCs w:val="26"/>
        </w:rPr>
        <w:t xml:space="preserve">Jahez International Company (Tadawul: 6017)</w:t>
      </w:r>
    </w:p>
    <w:p>
      <w:pPr>
        <w:spacing w:after="200" w:before="160"/>
        <w:jc w:val="center"/>
      </w:pPr>
      <w:r>
        <w:rPr>
          <w:rFonts w:ascii="Arial" w:cs="Arial" w:eastAsia="Arial" w:hAnsi="Arial"/>
          <w:b/>
          <w:bCs/>
          <w:color w:val="6B6455"/>
          <w:sz w:val="17"/>
          <w:szCs w:val="17"/>
        </w:rPr>
        <w:t xml:space="preserve">PRIVILEGED &amp; CONFIDENTIAL · PREPARED FOR THE INVESTMENT COMMITTEE</w:t>
      </w:r>
    </w:p>
    <w:p>
      <w:pPr>
        <w:spacing w:after="60"/>
        <w:jc w:val="center"/>
      </w:pPr>
      <w:r>
        <w:rPr>
          <w:rFonts w:ascii="Georgia" w:cs="Georgia" w:eastAsia="Georgia" w:hAnsi="Georgia"/>
          <w:b/>
          <w:bCs/>
          <w:color w:val="2A2620"/>
          <w:sz w:val="40"/>
          <w:szCs w:val="40"/>
        </w:rPr>
        <w:t xml:space="preserve">For Investment Committee Decision</w:t>
      </w:r>
    </w:p>
    <w:p>
      <w:pPr>
        <w:spacing w:after="240"/>
        <w:jc w:val="center"/>
      </w:pPr>
      <w:r>
        <w:rPr>
          <w:rFonts w:ascii="Arial" w:cs="Arial" w:eastAsia="Arial" w:hAnsi="Arial"/>
          <w:color w:val="514B40"/>
          <w:sz w:val="23"/>
          <w:szCs w:val="23"/>
        </w:rPr>
        <w:t xml:space="preserve">Scenario-weighted expected return 16.8% vs the 15.0% Benchmark · 4-year hold</w:t>
      </w:r>
    </w:p>
    <w:tbl>
      <w:tblPr>
        <w:tblW w:type="pct" w:w="100%"/>
        <w:tblBorders>
          <w:top w:val="single" w:color="B7AF9C" w:sz="4"/>
          <w:left w:val="single" w:color="B7AF9C" w:sz="4"/>
          <w:bottom w:val="single" w:color="B7AF9C" w:sz="4"/>
          <w:right w:val="single" w:color="B7AF9C" w:sz="4"/>
          <w:insideH w:val="single" w:color="D8D2C4" w:sz="4"/>
          <w:insideV w:val="single" w:color="D8D2C4" w:sz="4"/>
        </w:tblBorders>
      </w:tblPr>
      <w:tblGrid>
        <w:gridCol w:w="100"/>
        <w:gridCol w:w="100"/>
        <w:gridCol w:w="100"/>
        <w:gridCol w:w="100"/>
      </w:tblGrid>
      <w:tr>
        <w:tc>
          <w:tcPr>
            <w:tcW w:type="pct" w:w="18%"/>
            <w:shd w:fill="2A2620" w:color="auto" w:val="clear"/>
            <w:tcMar>
              <w:top w:type="dxa" w:w="70"/>
              <w:left w:type="dxa" w:w="110"/>
              <w:bottom w:type="dxa" w:w="70"/>
              <w:right w:type="dxa" w:w="110"/>
            </w:tcMar>
            <w:vAlign w:val="center"/>
          </w:tcPr>
          <w:p>
            <w:pPr>
              <w:jc w:val="left"/>
            </w:pPr>
            <w:r>
              <w:rPr>
                <w:rFonts w:ascii="Arial" w:cs="Arial" w:eastAsia="Arial" w:hAnsi="Arial"/>
                <w:b/>
                <w:bCs/>
                <w:color w:val="F5F1E6"/>
                <w:sz w:val="19"/>
                <w:szCs w:val="19"/>
              </w:rPr>
              <w:t xml:space="preserve">Company</w:t>
            </w:r>
          </w:p>
        </w:tc>
        <w:tc>
          <w:tcPr>
            <w:tcW w:type="pct" w:w="32%"/>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Jahez International Company</w:t>
            </w:r>
          </w:p>
        </w:tc>
        <w:tc>
          <w:tcPr>
            <w:tcW w:type="pct" w:w="18%"/>
            <w:shd w:fill="2A2620" w:color="auto" w:val="clear"/>
            <w:tcMar>
              <w:top w:type="dxa" w:w="70"/>
              <w:left w:type="dxa" w:w="110"/>
              <w:bottom w:type="dxa" w:w="70"/>
              <w:right w:type="dxa" w:w="110"/>
            </w:tcMar>
            <w:vAlign w:val="center"/>
          </w:tcPr>
          <w:p>
            <w:pPr>
              <w:jc w:val="left"/>
            </w:pPr>
            <w:r>
              <w:rPr>
                <w:rFonts w:ascii="Arial" w:cs="Arial" w:eastAsia="Arial" w:hAnsi="Arial"/>
                <w:b/>
                <w:bCs/>
                <w:color w:val="F5F1E6"/>
                <w:sz w:val="19"/>
                <w:szCs w:val="19"/>
              </w:rPr>
              <w:t xml:space="preserve">Listing</w:t>
            </w:r>
          </w:p>
        </w:tc>
        <w:tc>
          <w:tcPr>
            <w:tcW w:type="pct" w:w="32%"/>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Tadawul Main Market · 6017</w:t>
            </w:r>
          </w:p>
        </w:tc>
      </w:tr>
      <w:tr>
        <w:tc>
          <w:tcPr>
            <w:tcW w:type="pct" w:w="18%"/>
            <w:shd w:fill="2A2620" w:color="auto" w:val="clear"/>
            <w:tcMar>
              <w:top w:type="dxa" w:w="70"/>
              <w:left w:type="dxa" w:w="110"/>
              <w:bottom w:type="dxa" w:w="70"/>
              <w:right w:type="dxa" w:w="110"/>
            </w:tcMar>
            <w:vAlign w:val="center"/>
          </w:tcPr>
          <w:p>
            <w:pPr>
              <w:jc w:val="left"/>
            </w:pPr>
            <w:r>
              <w:rPr>
                <w:rFonts w:ascii="Arial" w:cs="Arial" w:eastAsia="Arial" w:hAnsi="Arial"/>
                <w:b/>
                <w:bCs/>
                <w:color w:val="F5F1E6"/>
                <w:sz w:val="19"/>
                <w:szCs w:val="19"/>
              </w:rPr>
              <w:t xml:space="preserve">Sector</w:t>
            </w:r>
          </w:p>
        </w:tc>
        <w:tc>
          <w:tcPr>
            <w:tcW w:type="pct" w:w="32%"/>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Quick-commerce &amp; food delivery</w:t>
            </w:r>
          </w:p>
        </w:tc>
        <w:tc>
          <w:tcPr>
            <w:tcW w:type="pct" w:w="18%"/>
            <w:shd w:fill="2A2620" w:color="auto" w:val="clear"/>
            <w:tcMar>
              <w:top w:type="dxa" w:w="70"/>
              <w:left w:type="dxa" w:w="110"/>
              <w:bottom w:type="dxa" w:w="70"/>
              <w:right w:type="dxa" w:w="110"/>
            </w:tcMar>
            <w:vAlign w:val="center"/>
          </w:tcPr>
          <w:p>
            <w:pPr>
              <w:jc w:val="left"/>
            </w:pPr>
            <w:r>
              <w:rPr>
                <w:rFonts w:ascii="Arial" w:cs="Arial" w:eastAsia="Arial" w:hAnsi="Arial"/>
                <w:b/>
                <w:bCs/>
                <w:color w:val="F5F1E6"/>
                <w:sz w:val="19"/>
                <w:szCs w:val="19"/>
              </w:rPr>
              <w:t xml:space="preserve">Geography</w:t>
            </w:r>
          </w:p>
        </w:tc>
        <w:tc>
          <w:tcPr>
            <w:tcW w:type="pct" w:w="32%"/>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Saudi Arabia</w:t>
            </w:r>
          </w:p>
        </w:tc>
      </w:tr>
      <w:tr>
        <w:tc>
          <w:tcPr>
            <w:tcW w:type="pct" w:w="18%"/>
            <w:shd w:fill="2A2620" w:color="auto" w:val="clear"/>
            <w:tcMar>
              <w:top w:type="dxa" w:w="70"/>
              <w:left w:type="dxa" w:w="110"/>
              <w:bottom w:type="dxa" w:w="70"/>
              <w:right w:type="dxa" w:w="110"/>
            </w:tcMar>
            <w:vAlign w:val="center"/>
          </w:tcPr>
          <w:p>
            <w:pPr>
              <w:jc w:val="left"/>
            </w:pPr>
            <w:r>
              <w:rPr>
                <w:rFonts w:ascii="Arial" w:cs="Arial" w:eastAsia="Arial" w:hAnsi="Arial"/>
                <w:b/>
                <w:bCs/>
                <w:color w:val="F5F1E6"/>
                <w:sz w:val="19"/>
                <w:szCs w:val="19"/>
              </w:rPr>
              <w:t xml:space="preserve">Instrument</w:t>
            </w:r>
          </w:p>
        </w:tc>
        <w:tc>
          <w:tcPr>
            <w:tcW w:type="pct" w:w="32%"/>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Public equity</w:t>
            </w:r>
          </w:p>
        </w:tc>
        <w:tc>
          <w:tcPr>
            <w:tcW w:type="pct" w:w="18%"/>
            <w:shd w:fill="2A2620" w:color="auto" w:val="clear"/>
            <w:tcMar>
              <w:top w:type="dxa" w:w="70"/>
              <w:left w:type="dxa" w:w="110"/>
              <w:bottom w:type="dxa" w:w="70"/>
              <w:right w:type="dxa" w:w="110"/>
            </w:tcMar>
            <w:vAlign w:val="center"/>
          </w:tcPr>
          <w:p>
            <w:pPr>
              <w:jc w:val="left"/>
            </w:pPr>
            <w:r>
              <w:rPr>
                <w:rFonts w:ascii="Arial" w:cs="Arial" w:eastAsia="Arial" w:hAnsi="Arial"/>
                <w:b/>
                <w:bCs/>
                <w:color w:val="F5F1E6"/>
                <w:sz w:val="19"/>
                <w:szCs w:val="19"/>
              </w:rPr>
              <w:t xml:space="preserve">Hold period</w:t>
            </w:r>
          </w:p>
        </w:tc>
        <w:tc>
          <w:tcPr>
            <w:tcW w:type="pct" w:w="32%"/>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4 years (mandate window 3-5)</w:t>
            </w:r>
          </w:p>
        </w:tc>
      </w:tr>
      <w:tr>
        <w:tc>
          <w:tcPr>
            <w:tcW w:type="pct" w:w="18%"/>
            <w:shd w:fill="2A2620" w:color="auto" w:val="clear"/>
            <w:tcMar>
              <w:top w:type="dxa" w:w="70"/>
              <w:left w:type="dxa" w:w="110"/>
              <w:bottom w:type="dxa" w:w="70"/>
              <w:right w:type="dxa" w:w="110"/>
            </w:tcMar>
            <w:vAlign w:val="center"/>
          </w:tcPr>
          <w:p>
            <w:pPr>
              <w:jc w:val="left"/>
            </w:pPr>
            <w:r>
              <w:rPr>
                <w:rFonts w:ascii="Arial" w:cs="Arial" w:eastAsia="Arial" w:hAnsi="Arial"/>
                <w:b/>
                <w:bCs/>
                <w:color w:val="F5F1E6"/>
                <w:sz w:val="19"/>
                <w:szCs w:val="19"/>
              </w:rPr>
              <w:t xml:space="preserve">Current price</w:t>
            </w:r>
          </w:p>
        </w:tc>
        <w:tc>
          <w:tcPr>
            <w:tcW w:type="pct" w:w="32%"/>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SAR 12.79</w:t>
            </w:r>
          </w:p>
        </w:tc>
        <w:tc>
          <w:tcPr>
            <w:tcW w:type="pct" w:w="18%"/>
            <w:shd w:fill="2A2620" w:color="auto" w:val="clear"/>
            <w:tcMar>
              <w:top w:type="dxa" w:w="70"/>
              <w:left w:type="dxa" w:w="110"/>
              <w:bottom w:type="dxa" w:w="70"/>
              <w:right w:type="dxa" w:w="110"/>
            </w:tcMar>
            <w:vAlign w:val="center"/>
          </w:tcPr>
          <w:p>
            <w:pPr>
              <w:jc w:val="left"/>
            </w:pPr>
            <w:r>
              <w:rPr>
                <w:rFonts w:ascii="Arial" w:cs="Arial" w:eastAsia="Arial" w:hAnsi="Arial"/>
                <w:b/>
                <w:bCs/>
                <w:color w:val="F5F1E6"/>
                <w:sz w:val="19"/>
                <w:szCs w:val="19"/>
              </w:rPr>
              <w:t xml:space="preserve">Base-case value (DCF)</w:t>
            </w:r>
          </w:p>
        </w:tc>
        <w:tc>
          <w:tcPr>
            <w:tcW w:type="pct" w:w="32%"/>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SAR 14.36</w:t>
            </w:r>
          </w:p>
        </w:tc>
      </w:tr>
      <w:tr>
        <w:tc>
          <w:tcPr>
            <w:tcW w:type="pct" w:w="18%"/>
            <w:shd w:fill="2A2620" w:color="auto" w:val="clear"/>
            <w:tcMar>
              <w:top w:type="dxa" w:w="70"/>
              <w:left w:type="dxa" w:w="110"/>
              <w:bottom w:type="dxa" w:w="70"/>
              <w:right w:type="dxa" w:w="110"/>
            </w:tcMar>
            <w:vAlign w:val="center"/>
          </w:tcPr>
          <w:p>
            <w:pPr>
              <w:jc w:val="left"/>
            </w:pPr>
            <w:r>
              <w:rPr>
                <w:rFonts w:ascii="Arial" w:cs="Arial" w:eastAsia="Arial" w:hAnsi="Arial"/>
                <w:b/>
                <w:bCs/>
                <w:color w:val="F5F1E6"/>
                <w:sz w:val="19"/>
                <w:szCs w:val="19"/>
              </w:rPr>
              <w:t xml:space="preserve">Weighted return</w:t>
            </w:r>
          </w:p>
        </w:tc>
        <w:tc>
          <w:tcPr>
            <w:tcW w:type="pct" w:w="32%"/>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16.8%</w:t>
            </w:r>
          </w:p>
        </w:tc>
        <w:tc>
          <w:tcPr>
            <w:tcW w:type="pct" w:w="18%"/>
            <w:shd w:fill="2A2620" w:color="auto" w:val="clear"/>
            <w:tcMar>
              <w:top w:type="dxa" w:w="70"/>
              <w:left w:type="dxa" w:w="110"/>
              <w:bottom w:type="dxa" w:w="70"/>
              <w:right w:type="dxa" w:w="110"/>
            </w:tcMar>
            <w:vAlign w:val="center"/>
          </w:tcPr>
          <w:p>
            <w:pPr>
              <w:jc w:val="left"/>
            </w:pPr>
            <w:r>
              <w:rPr>
                <w:rFonts w:ascii="Arial" w:cs="Arial" w:eastAsia="Arial" w:hAnsi="Arial"/>
                <w:b/>
                <w:bCs/>
                <w:color w:val="F5F1E6"/>
                <w:sz w:val="19"/>
                <w:szCs w:val="19"/>
              </w:rPr>
              <w:t xml:space="preserve">Benchmark</w:t>
            </w:r>
          </w:p>
        </w:tc>
        <w:tc>
          <w:tcPr>
            <w:tcW w:type="pct" w:w="32%"/>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15.0% gross IRR</w:t>
            </w:r>
          </w:p>
        </w:tc>
      </w:tr>
      <w:tr>
        <w:tc>
          <w:tcPr>
            <w:tcW w:type="pct" w:w="18%"/>
            <w:shd w:fill="2A2620" w:color="auto" w:val="clear"/>
            <w:tcMar>
              <w:top w:type="dxa" w:w="70"/>
              <w:left w:type="dxa" w:w="110"/>
              <w:bottom w:type="dxa" w:w="70"/>
              <w:right w:type="dxa" w:w="110"/>
            </w:tcMar>
            <w:vAlign w:val="center"/>
          </w:tcPr>
          <w:p>
            <w:pPr>
              <w:jc w:val="left"/>
            </w:pPr>
            <w:r>
              <w:rPr>
                <w:rFonts w:ascii="Arial" w:cs="Arial" w:eastAsia="Arial" w:hAnsi="Arial"/>
                <w:b/>
                <w:bCs/>
                <w:color w:val="F5F1E6"/>
                <w:sz w:val="19"/>
                <w:szCs w:val="19"/>
              </w:rPr>
              <w:t xml:space="preserve">Risk score</w:t>
            </w:r>
          </w:p>
        </w:tc>
        <w:tc>
          <w:tcPr>
            <w:tcW w:type="pct" w:w="32%"/>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5.5 / 10</w:t>
            </w:r>
          </w:p>
        </w:tc>
        <w:tc>
          <w:tcPr>
            <w:tcW w:type="pct" w:w="18%"/>
            <w:shd w:fill="2A2620" w:color="auto" w:val="clear"/>
            <w:tcMar>
              <w:top w:type="dxa" w:w="70"/>
              <w:left w:type="dxa" w:w="110"/>
              <w:bottom w:type="dxa" w:w="70"/>
              <w:right w:type="dxa" w:w="110"/>
            </w:tcMar>
            <w:vAlign w:val="center"/>
          </w:tcPr>
          <w:p>
            <w:pPr>
              <w:jc w:val="left"/>
            </w:pPr>
            <w:r>
              <w:rPr>
                <w:rFonts w:ascii="Arial" w:cs="Arial" w:eastAsia="Arial" w:hAnsi="Arial"/>
                <w:b/>
                <w:bCs/>
                <w:color w:val="F5F1E6"/>
                <w:sz w:val="19"/>
                <w:szCs w:val="19"/>
              </w:rPr>
              <w:t xml:space="preserve">Compliance screen</w:t>
            </w:r>
          </w:p>
        </w:tc>
        <w:tc>
          <w:tcPr>
            <w:tcW w:type="pct" w:w="32%"/>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PASS</w:t>
            </w:r>
          </w:p>
        </w:tc>
      </w:tr>
    </w:tbl>
    <w:p>
      <w:pPr>
        <w:spacing w:after="200" w:before="260"/>
        <w:jc w:val="center"/>
      </w:pPr>
      <w:r>
        <w:rPr>
          <w:rFonts w:ascii="Arial" w:cs="Arial" w:eastAsia="Arial" w:hAnsi="Arial"/>
          <w:color w:val="6B6455"/>
          <w:sz w:val="17"/>
          <w:szCs w:val="17"/>
        </w:rPr>
        <w:t xml:space="preserve">Contents: Executive Summary · Return Analysis · Key Strengths and Concerns · Quantified Risk Assessment · Company and Market Overview · Historical and Projected Financials · Compliance Screen · Catalysts and Monitoring KPIs · Sources</w:t>
      </w:r>
    </w:p>
    <w:p>
      <w:pPr>
        <w:pBdr>
          <w:top w:val="single" w:color="B08D2A" w:sz="6"/>
          <w:bottom w:val="single" w:color="B08D2A" w:sz="6"/>
        </w:pBdr>
        <w:spacing w:after="200" w:before="200"/>
        <w:jc w:val="center"/>
      </w:pPr>
      <w:r>
        <w:rPr>
          <w:rFonts w:ascii="Arial" w:cs="Arial" w:eastAsia="Arial" w:hAnsi="Arial"/>
          <w:i/>
          <w:iCs/>
          <w:color w:val="6B6455"/>
          <w:sz w:val="20"/>
          <w:szCs w:val="20"/>
        </w:rPr>
        <w:t xml:space="preserve">Advisory only, the investment decision rests with the Investment Committee.</w:t>
      </w:r>
    </w:p>
    <w:p>
      <w:pPr>
        <w:spacing w:before="320"/>
        <w:jc w:val="center"/>
      </w:pPr>
      <w:r>
        <w:rPr>
          <w:rFonts w:ascii="Arial" w:cs="Arial" w:eastAsia="Arial" w:hAnsi="Arial"/>
          <w:color w:val="6B6455"/>
          <w:sz w:val="19"/>
          <w:szCs w:val="19"/>
        </w:rPr>
        <w:t xml:space="preserve">Prepared by Faheem for Lunar Investments · 12 July 2026</w:t>
      </w:r>
    </w:p>
    <w:p>
      <w:pPr>
        <w:pageBreakBefore/>
      </w:pPr>
    </w:p>
    <w:p>
      <w:pPr>
        <w:spacing w:after="0" w:before="220"/>
      </w:pPr>
    </w:p>
    <w:p>
      <w:pPr>
        <w:pStyle w:val="Heading1"/>
        <w:pBdr>
          <w:bottom w:val="single" w:color="B08D2A" w:sz="12"/>
        </w:pBdr>
        <w:shd w:fill="2A2620" w:color="auto" w:val="clear"/>
        <w:spacing w:after="240" w:before="90"/>
        <w:ind w:left="172"/>
      </w:pPr>
      <w:r>
        <w:rPr>
          <w:rFonts w:ascii="Georgia" w:cs="Georgia" w:eastAsia="Georgia" w:hAnsi="Georgia"/>
          <w:b/>
          <w:bCs/>
          <w:color w:val="F5F1E6"/>
          <w:sz w:val="28"/>
          <w:szCs w:val="28"/>
        </w:rPr>
        <w:t xml:space="preserve">Executive Summary</w:t>
      </w:r>
    </w:p>
    <w:p>
      <w:pPr>
        <w:pStyle w:val="ListParagraph"/>
        <w:numPr>
          <w:ilvl w:val="0"/>
          <w:numId w:val="1"/>
        </w:numPr>
        <w:spacing w:after="100" w:line="256"/>
        <w:jc w:val="both"/>
      </w:pPr>
      <w:r>
        <w:rPr>
          <w:rFonts w:ascii="Arial" w:cs="Arial" w:eastAsia="Arial" w:hAnsi="Arial"/>
          <w:color w:val="2A2620"/>
          <w:sz w:val="21"/>
          <w:szCs w:val="21"/>
        </w:rPr>
        <w:t xml:space="preserve">Jahez International Company (Tadawul: 6017) is a Saudi-listed quick-commerce and food-delivery group; the Q4-2025 consolidation of Snoonu extends the group beyond single-vertical food delivery into broader last-mile logistics.</w:t>
      </w:r>
    </w:p>
    <w:p>
      <w:pPr>
        <w:pStyle w:val="ListParagraph"/>
        <w:numPr>
          <w:ilvl w:val="0"/>
          <w:numId w:val="1"/>
        </w:numPr>
        <w:spacing w:after="100" w:line="256"/>
        <w:jc w:val="both"/>
      </w:pPr>
      <w:r>
        <w:rPr>
          <w:rFonts w:ascii="Arial" w:cs="Arial" w:eastAsia="Arial" w:hAnsi="Arial"/>
          <w:color w:val="2A2620"/>
          <w:sz w:val="21"/>
          <w:szCs w:val="21"/>
        </w:rPr>
        <w:t xml:space="preserve">FY2025A GMV of SAR 7,245.2m grew +10.8% YoY on 111.6m orders (+5.3% YoY) at an average order value of SAR 64.90; net revenue reached SAR 2,323.6m (+4.7% YoY) at a 15.4% take rate (14.6% FY2024A).</w:t>
      </w:r>
    </w:p>
    <w:p>
      <w:pPr>
        <w:pStyle w:val="ListParagraph"/>
        <w:numPr>
          <w:ilvl w:val="0"/>
          <w:numId w:val="1"/>
        </w:numPr>
        <w:spacing w:after="100" w:line="256"/>
        <w:jc w:val="both"/>
      </w:pPr>
      <w:r>
        <w:rPr>
          <w:rFonts w:ascii="Arial" w:cs="Arial" w:eastAsia="Arial" w:hAnsi="Arial"/>
          <w:color w:val="2A2620"/>
          <w:sz w:val="21"/>
          <w:szCs w:val="21"/>
        </w:rPr>
        <w:t xml:space="preserve">Net income compressed 61.2% YoY to SAR 73.0m, carrying SAR 55.4m of Q4-2025 one-off items (Red Color impairment, Marn goodwill impairment, Others-segment ECL, Snoonu deal costs); Q1-2026A printed a SAR 9.2m net loss while adjusted EBITDA remained positive at SAR 43.6m.</w:t>
      </w:r>
    </w:p>
    <w:p>
      <w:pPr>
        <w:pStyle w:val="ListParagraph"/>
        <w:numPr>
          <w:ilvl w:val="0"/>
          <w:numId w:val="1"/>
        </w:numPr>
        <w:spacing w:after="100" w:line="256"/>
        <w:jc w:val="both"/>
      </w:pPr>
      <w:r>
        <w:rPr>
          <w:rFonts w:ascii="Arial" w:cs="Arial" w:eastAsia="Arial" w:hAnsi="Arial"/>
          <w:color w:val="2A2620"/>
          <w:sz w:val="21"/>
          <w:szCs w:val="21"/>
        </w:rPr>
        <w:t xml:space="preserve">Adjusted EBITDA margin contracted ~300 bps to 8.3% (FY2024A: 11.3%), and gross margin moved to 22.8% from 24.4%, consistent with a market absorbing delivery-fee competition.</w:t>
      </w:r>
    </w:p>
    <w:p>
      <w:pPr>
        <w:pStyle w:val="ListParagraph"/>
        <w:numPr>
          <w:ilvl w:val="0"/>
          <w:numId w:val="1"/>
        </w:numPr>
        <w:spacing w:after="100" w:line="256"/>
        <w:jc w:val="both"/>
      </w:pPr>
      <w:r>
        <w:rPr>
          <w:rFonts w:ascii="Arial" w:cs="Arial" w:eastAsia="Arial" w:hAnsi="Arial"/>
          <w:color w:val="2A2620"/>
          <w:sz w:val="21"/>
          <w:szCs w:val="21"/>
        </w:rPr>
        <w:t xml:space="preserve">Snoonu contributed SAR 626.8m of Group GMV (SAR 2,360.0m) from an October consolidation start and SAR 53.7m of positive adjusted EBITDA; the Logistics segment posted SAR 428.8m of FY2025A net revenue.</w:t>
      </w:r>
    </w:p>
    <w:p>
      <w:pPr>
        <w:pStyle w:val="ListParagraph"/>
        <w:numPr>
          <w:ilvl w:val="0"/>
          <w:numId w:val="1"/>
        </w:numPr>
        <w:spacing w:after="100" w:line="256"/>
        <w:jc w:val="both"/>
      </w:pPr>
      <w:r>
        <w:rPr>
          <w:rFonts w:ascii="Arial" w:cs="Arial" w:eastAsia="Arial" w:hAnsi="Arial"/>
          <w:color w:val="2A2620"/>
          <w:sz w:val="21"/>
          <w:szCs w:val="21"/>
        </w:rPr>
        <w:t xml:space="preserve">Faheem's DCF (WACC 13.3%, terminal growth 3.0%) indicates a base-case value of SAR 14.36 per share against the SAR 12.79 close, +12.3% implied upside; the trading-comps cross-check spans SAR 5.81 to SAR 61.32 (median SAR 24.36).</w:t>
      </w:r>
    </w:p>
    <w:p>
      <w:pPr>
        <w:pStyle w:val="ListParagraph"/>
        <w:numPr>
          <w:ilvl w:val="0"/>
          <w:numId w:val="1"/>
        </w:numPr>
        <w:spacing w:after="100" w:line="256"/>
        <w:jc w:val="both"/>
      </w:pPr>
      <w:r>
        <w:rPr>
          <w:rFonts w:ascii="Arial" w:cs="Arial" w:eastAsia="Arial" w:hAnsi="Arial"/>
          <w:color w:val="2A2620"/>
          <w:sz w:val="21"/>
          <w:szCs w:val="21"/>
        </w:rPr>
        <w:t xml:space="preserve">Scenario analysis weights bull, base and bear cases at 25% / 50% / 25%, giving a probability-weighted value of SAR 14.50 per share and a weighted expected return of 16.8% against Lunar's 15.0% Benchmark; the bear case in isolation returns 7.0%, below the Benchmark.</w:t>
      </w:r>
    </w:p>
    <w:p>
      <w:pPr>
        <w:pStyle w:val="ListParagraph"/>
        <w:numPr>
          <w:ilvl w:val="0"/>
          <w:numId w:val="1"/>
        </w:numPr>
        <w:spacing w:after="100" w:line="256"/>
        <w:jc w:val="both"/>
      </w:pPr>
      <w:r>
        <w:rPr>
          <w:rFonts w:ascii="Arial" w:cs="Arial" w:eastAsia="Arial" w:hAnsi="Arial"/>
          <w:color w:val="2A2620"/>
          <w:sz w:val="21"/>
          <w:szCs w:val="21"/>
        </w:rPr>
        <w:t xml:space="preserve">The balance sheet carries SAR 16.6m of net cash, and the compliance screen passes both IC Charter ratio tests (6.01% debt / market cap and 19.03% cash / market cap, against 33% thresholds).</w:t>
      </w:r>
    </w:p>
    <w:p>
      <w:pPr>
        <w:pStyle w:val="ListParagraph"/>
        <w:numPr>
          <w:ilvl w:val="0"/>
          <w:numId w:val="1"/>
        </w:numPr>
        <w:spacing w:after="100" w:line="256"/>
        <w:jc w:val="both"/>
      </w:pPr>
      <w:r>
        <w:rPr>
          <w:rFonts w:ascii="Arial" w:cs="Arial" w:eastAsia="Arial" w:hAnsi="Arial"/>
          <w:color w:val="2A2620"/>
          <w:sz w:val="21"/>
          <w:szCs w:val="21"/>
        </w:rPr>
        <w:t xml:space="preserve">The quantified risk register rolls up to a composite score of 5.5 / 10, with price-war margin compression scored as the dominant risk.</w:t>
      </w:r>
    </w:p>
    <w:p>
      <w:pPr>
        <w:pStyle w:val="ListParagraph"/>
        <w:numPr>
          <w:ilvl w:val="0"/>
          <w:numId w:val="1"/>
        </w:numPr>
        <w:spacing w:after="100" w:line="256"/>
        <w:jc w:val="both"/>
      </w:pPr>
      <w:r>
        <w:rPr>
          <w:rFonts w:ascii="Arial" w:cs="Arial" w:eastAsia="Arial" w:hAnsi="Arial"/>
          <w:color w:val="2A2620"/>
          <w:sz w:val="21"/>
          <w:szCs w:val="21"/>
        </w:rPr>
        <w:t xml:space="preserve">This memorandum presents the analysis without an investment recommendation: the investment decision rests with the Investment Committee.</w:t>
      </w:r>
    </w:p>
    <w:p>
      <w:pPr>
        <w:spacing w:after="200" w:before="40"/>
      </w:pPr>
      <w:r>
        <w:rPr>
          <w:rFonts w:ascii="Arial" w:cs="Arial" w:eastAsia="Arial" w:hAnsi="Arial"/>
          <w:i/>
          <w:iCs/>
          <w:color w:val="6B6455"/>
          <w:sz w:val="17"/>
          <w:szCs w:val="17"/>
        </w:rPr>
        <w:t xml:space="preserve">Figures: FY2025 Earnings Results, Q1 2026 Financial Statements, and the Faheem Valuation Model; every figure traces to the sources appendix.</w:t>
      </w:r>
    </w:p>
    <w:p>
      <w:pPr>
        <w:spacing w:after="0" w:before="220"/>
      </w:pPr>
    </w:p>
    <w:p>
      <w:pPr>
        <w:pStyle w:val="Heading1"/>
        <w:pBdr>
          <w:bottom w:val="single" w:color="B08D2A" w:sz="12"/>
        </w:pBdr>
        <w:shd w:fill="2A2620" w:color="auto" w:val="clear"/>
        <w:spacing w:after="240" w:before="90"/>
        <w:ind w:left="172"/>
      </w:pPr>
      <w:r>
        <w:rPr>
          <w:rFonts w:ascii="Georgia" w:cs="Georgia" w:eastAsia="Georgia" w:hAnsi="Georgia"/>
          <w:b/>
          <w:bCs/>
          <w:color w:val="F5F1E6"/>
          <w:sz w:val="28"/>
          <w:szCs w:val="28"/>
        </w:rPr>
        <w:t xml:space="preserve">Return Analysis</w:t>
      </w:r>
    </w:p>
    <w:p>
      <w:pPr>
        <w:pBdr>
          <w:bottom w:val="single" w:color="D8D2C4" w:sz="4"/>
        </w:pBdr>
        <w:spacing w:after="90" w:before="220"/>
      </w:pPr>
      <w:r>
        <w:rPr>
          <w:rFonts w:ascii="Arial" w:cs="Arial" w:eastAsia="Arial" w:hAnsi="Arial"/>
          <w:b/>
          <w:bCs/>
          <w:color w:val="514B40"/>
          <w:sz w:val="24"/>
          <w:szCs w:val="24"/>
        </w:rPr>
        <w:t xml:space="preserve">Valuation approach</w:t>
      </w:r>
    </w:p>
    <w:p>
      <w:pPr>
        <w:spacing w:after="160" w:line="264"/>
        <w:jc w:val="both"/>
      </w:pPr>
      <w:r>
        <w:rPr>
          <w:rFonts w:ascii="Arial" w:cs="Arial" w:eastAsia="Arial" w:hAnsi="Arial"/>
          <w:color w:val="2A2620"/>
          <w:sz w:val="21"/>
          <w:szCs w:val="21"/>
        </w:rPr>
        <w:t xml:space="preserve">Faheem applied two valuation approaches to the position: a discounted cash flow on free cash flow to the firm as the primary methodology, and a trading-comparables cross-check. The DCF builds the discount rate bottom-up from a 4.6% Saudi risk-free rate, a 1.82x comp-set beta and a 5.0% equity risk premium, giving a 13.7% cost of equity and a 13.3% WACC. Discounting the explicit FY2026E-FY2030E forecast plus a Gordon terminal value at 3.0% terminal growth, and adding SAR 16.6m of net cash, indicates SAR 14.36 per share, +12.3% against the SAR 12.79 close.</w:t>
      </w:r>
    </w:p>
    <w:p>
      <w:pPr>
        <w:pBdr>
          <w:bottom w:val="single" w:color="D8D2C4" w:sz="4"/>
        </w:pBdr>
        <w:spacing w:after="90" w:before="220"/>
      </w:pPr>
      <w:r>
        <w:rPr>
          <w:rFonts w:ascii="Arial" w:cs="Arial" w:eastAsia="Arial" w:hAnsi="Arial"/>
          <w:b/>
          <w:bCs/>
          <w:color w:val="514B40"/>
          <w:sz w:val="24"/>
          <w:szCs w:val="24"/>
        </w:rPr>
        <w:t xml:space="preserve">Trading comparables cross-check</w:t>
      </w:r>
    </w:p>
    <w:p>
      <w:pPr>
        <w:spacing w:after="160" w:line="264"/>
        <w:jc w:val="both"/>
      </w:pPr>
      <w:r>
        <w:rPr>
          <w:rFonts w:ascii="Arial" w:cs="Arial" w:eastAsia="Arial" w:hAnsi="Arial"/>
          <w:color w:val="2A2620"/>
          <w:sz w:val="21"/>
          <w:szCs w:val="21"/>
        </w:rPr>
        <w:t xml:space="preserve">The comparables cross-check applies EV/Revenue, EV/EBITDA and P/E multiples from Talabat, DoorDash and Delivery Hero to Jahez's FY2025A figures. The implied-value field is wide, SAR 5.81 to SAR 61.32 with a median of SAR 24.36, reflecting the gap between regional-scale multiples and richly priced US growth comps. The DCF result sits toward the lower half of that field and is anchored to Jahez's own projected cash flows rather than borrowed multiples; it is the methodology this memorandum relies on.</w:t>
      </w:r>
    </w:p>
    <w:tbl>
      <w:tblPr>
        <w:tblW w:type="pct" w:w="100%"/>
        <w:tblBorders>
          <w:top w:val="single" w:color="B7AF9C" w:sz="4"/>
          <w:left w:val="single" w:color="B7AF9C" w:sz="4"/>
          <w:bottom w:val="single" w:color="B7AF9C" w:sz="4"/>
          <w:right w:val="single" w:color="B7AF9C" w:sz="4"/>
          <w:insideH w:val="single" w:color="D8D2C4" w:sz="4"/>
          <w:insideV w:val="single" w:color="D8D2C4" w:sz="4"/>
        </w:tblBorders>
      </w:tblPr>
      <w:tblGrid>
        <w:gridCol w:w="100"/>
        <w:gridCol w:w="100"/>
        <w:gridCol w:w="100"/>
        <w:gridCol w:w="100"/>
      </w:tblGrid>
      <w:tr>
        <w:trPr>
          <w:tblHeader/>
        </w:trPr>
        <w:tc>
          <w:tcPr>
            <w:tcW w:type="pct" w:w="34%"/>
            <w:shd w:fill="2A2620" w:color="auto" w:val="clear"/>
            <w:tcMar>
              <w:top w:type="dxa" w:w="70"/>
              <w:left w:type="dxa" w:w="110"/>
              <w:bottom w:type="dxa" w:w="70"/>
              <w:right w:type="dxa" w:w="110"/>
            </w:tcMar>
            <w:vAlign w:val="center"/>
          </w:tcPr>
          <w:p>
            <w:pPr>
              <w:jc w:val="left"/>
            </w:pPr>
            <w:r>
              <w:rPr>
                <w:rFonts w:ascii="Arial" w:cs="Arial" w:eastAsia="Arial" w:hAnsi="Arial"/>
                <w:b/>
                <w:bCs/>
                <w:color w:val="F5F1E6"/>
                <w:sz w:val="19"/>
                <w:szCs w:val="19"/>
              </w:rPr>
              <w:t xml:space="preserve">Comparable</w:t>
            </w:r>
          </w:p>
        </w:tc>
        <w:tc>
          <w:tcPr>
            <w:tcW w:type="pct" w:w="22%"/>
            <w:shd w:fill="2A2620" w:color="auto" w:val="clear"/>
            <w:tcMar>
              <w:top w:type="dxa" w:w="70"/>
              <w:left w:type="dxa" w:w="110"/>
              <w:bottom w:type="dxa" w:w="70"/>
              <w:right w:type="dxa" w:w="110"/>
            </w:tcMar>
            <w:vAlign w:val="center"/>
          </w:tcPr>
          <w:p>
            <w:pPr>
              <w:jc w:val="center"/>
            </w:pPr>
            <w:r>
              <w:rPr>
                <w:rFonts w:ascii="Arial" w:cs="Arial" w:eastAsia="Arial" w:hAnsi="Arial"/>
                <w:b/>
                <w:bCs/>
                <w:color w:val="F5F1E6"/>
                <w:sz w:val="19"/>
                <w:szCs w:val="19"/>
              </w:rPr>
              <w:t xml:space="preserve">EV/Revenue</w:t>
            </w:r>
          </w:p>
        </w:tc>
        <w:tc>
          <w:tcPr>
            <w:tcW w:type="pct" w:w="22%"/>
            <w:shd w:fill="2A2620" w:color="auto" w:val="clear"/>
            <w:tcMar>
              <w:top w:type="dxa" w:w="70"/>
              <w:left w:type="dxa" w:w="110"/>
              <w:bottom w:type="dxa" w:w="70"/>
              <w:right w:type="dxa" w:w="110"/>
            </w:tcMar>
            <w:vAlign w:val="center"/>
          </w:tcPr>
          <w:p>
            <w:pPr>
              <w:jc w:val="center"/>
            </w:pPr>
            <w:r>
              <w:rPr>
                <w:rFonts w:ascii="Arial" w:cs="Arial" w:eastAsia="Arial" w:hAnsi="Arial"/>
                <w:b/>
                <w:bCs/>
                <w:color w:val="F5F1E6"/>
                <w:sz w:val="19"/>
                <w:szCs w:val="19"/>
              </w:rPr>
              <w:t xml:space="preserve">EV/EBITDA</w:t>
            </w:r>
          </w:p>
        </w:tc>
        <w:tc>
          <w:tcPr>
            <w:tcW w:type="pct" w:w="22%"/>
            <w:shd w:fill="2A2620" w:color="auto" w:val="clear"/>
            <w:tcMar>
              <w:top w:type="dxa" w:w="70"/>
              <w:left w:type="dxa" w:w="110"/>
              <w:bottom w:type="dxa" w:w="70"/>
              <w:right w:type="dxa" w:w="110"/>
            </w:tcMar>
            <w:vAlign w:val="center"/>
          </w:tcPr>
          <w:p>
            <w:pPr>
              <w:jc w:val="center"/>
            </w:pPr>
            <w:r>
              <w:rPr>
                <w:rFonts w:ascii="Arial" w:cs="Arial" w:eastAsia="Arial" w:hAnsi="Arial"/>
                <w:b/>
                <w:bCs/>
                <w:color w:val="F5F1E6"/>
                <w:sz w:val="19"/>
                <w:szCs w:val="19"/>
              </w:rPr>
              <w:t xml:space="preserve">P/E (TTM)</w:t>
            </w:r>
          </w:p>
        </w:tc>
      </w:tr>
      <w:tr>
        <w:tc>
          <w:tcPr>
            <w:tcW w:type="pct" w:w="34%"/>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Talabat</w:t>
            </w:r>
          </w:p>
        </w:tc>
        <w:tc>
          <w:tcPr>
            <w:tcW w:type="pct" w:w="22%"/>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1.88x</w:t>
            </w:r>
          </w:p>
        </w:tc>
        <w:tc>
          <w:tcPr>
            <w:tcW w:type="pct" w:w="22%"/>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12.90x</w:t>
            </w:r>
          </w:p>
        </w:tc>
        <w:tc>
          <w:tcPr>
            <w:tcW w:type="pct" w:w="22%"/>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16.70x</w:t>
            </w:r>
          </w:p>
        </w:tc>
      </w:tr>
      <w:tr>
        <w:tc>
          <w:tcPr>
            <w:tcW w:type="pct" w:w="34%"/>
            <w:shd w:fill="FBF9F4" w:color="auto" w:val="clear"/>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DoorDash</w:t>
            </w:r>
          </w:p>
        </w:tc>
        <w:tc>
          <w:tcPr>
            <w:tcW w:type="pct" w:w="22%"/>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5.53x</w:t>
            </w:r>
          </w:p>
        </w:tc>
        <w:tc>
          <w:tcPr>
            <w:tcW w:type="pct" w:w="22%"/>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60.25x</w:t>
            </w:r>
          </w:p>
        </w:tc>
        <w:tc>
          <w:tcPr>
            <w:tcW w:type="pct" w:w="22%"/>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91.43x</w:t>
            </w:r>
          </w:p>
        </w:tc>
      </w:tr>
      <w:tr>
        <w:tc>
          <w:tcPr>
            <w:tcW w:type="pct" w:w="34%"/>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Delivery Hero</w:t>
            </w:r>
          </w:p>
        </w:tc>
        <w:tc>
          <w:tcPr>
            <w:tcW w:type="pct" w:w="22%"/>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0.97x</w:t>
            </w:r>
          </w:p>
        </w:tc>
        <w:tc>
          <w:tcPr>
            <w:tcW w:type="pct" w:w="22%"/>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30.16x</w:t>
            </w:r>
          </w:p>
        </w:tc>
        <w:tc>
          <w:tcPr>
            <w:tcW w:type="pct" w:w="22%"/>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n/a</w:t>
            </w:r>
          </w:p>
        </w:tc>
      </w:tr>
    </w:tbl>
    <w:p>
      <w:pPr>
        <w:spacing w:after="200" w:before="40"/>
      </w:pPr>
      <w:r>
        <w:rPr>
          <w:rFonts w:ascii="Arial" w:cs="Arial" w:eastAsia="Arial" w:hAnsi="Arial"/>
          <w:i/>
          <w:iCs/>
          <w:color w:val="6B6455"/>
          <w:sz w:val="17"/>
          <w:szCs w:val="17"/>
        </w:rPr>
        <w:t xml:space="preserve">Source: Market Data &amp; Comparables Snapshot, p.4. Implied value per share across all methods: SAR 5.81 min · SAR 24.36 median · SAR 61.32 max.</w:t>
      </w:r>
    </w:p>
    <w:p>
      <w:pPr>
        <w:pBdr>
          <w:bottom w:val="single" w:color="D8D2C4" w:sz="4"/>
        </w:pBdr>
        <w:spacing w:after="90" w:before="220"/>
      </w:pPr>
      <w:r>
        <w:rPr>
          <w:rFonts w:ascii="Arial" w:cs="Arial" w:eastAsia="Arial" w:hAnsi="Arial"/>
          <w:b/>
          <w:bCs/>
          <w:color w:val="514B40"/>
          <w:sz w:val="24"/>
          <w:szCs w:val="24"/>
        </w:rPr>
        <w:t xml:space="preserve">Scenario analysis</w:t>
      </w:r>
    </w:p>
    <w:p>
      <w:pPr>
        <w:spacing w:after="160" w:line="264"/>
        <w:jc w:val="both"/>
      </w:pPr>
      <w:r>
        <w:rPr>
          <w:rFonts w:ascii="Arial" w:cs="Arial" w:eastAsia="Arial" w:hAnsi="Arial"/>
          <w:color w:val="2A2620"/>
          <w:sz w:val="21"/>
          <w:szCs w:val="21"/>
        </w:rPr>
        <w:t xml:space="preserve">Bull, base and bear cases apply parallel shifts to net-revenue growth and EBITDA margin at probability weights of 25% / 50% / 25%, an analyst judgment documented in the workbook's Assumptions tab. The probability-weighted value per share is SAR 14.50 and the weighted expected return over the 4-year hold is 16.8%. The bear case (SAR 10.03 per share, 7.0% IRR) falls below the 15.0% Benchmark in isolation; the weighted case clears it.</w:t>
      </w:r>
    </w:p>
    <w:tbl>
      <w:tblPr>
        <w:tblW w:type="pct" w:w="100%"/>
        <w:tblBorders>
          <w:top w:val="single" w:color="B7AF9C" w:sz="4"/>
          <w:left w:val="single" w:color="B7AF9C" w:sz="4"/>
          <w:bottom w:val="single" w:color="B7AF9C" w:sz="4"/>
          <w:right w:val="single" w:color="B7AF9C" w:sz="4"/>
          <w:insideH w:val="single" w:color="D8D2C4" w:sz="4"/>
          <w:insideV w:val="single" w:color="D8D2C4" w:sz="4"/>
        </w:tblBorders>
      </w:tblPr>
      <w:tblGrid>
        <w:gridCol w:w="100"/>
        <w:gridCol w:w="100"/>
        <w:gridCol w:w="100"/>
        <w:gridCol w:w="100"/>
        <w:gridCol w:w="100"/>
      </w:tblGrid>
      <w:tr>
        <w:trPr>
          <w:tblHeader/>
        </w:trPr>
        <w:tc>
          <w:tcPr>
            <w:tcW w:type="pct" w:w="30%"/>
            <w:shd w:fill="2A2620" w:color="auto" w:val="clear"/>
            <w:tcMar>
              <w:top w:type="dxa" w:w="70"/>
              <w:left w:type="dxa" w:w="110"/>
              <w:bottom w:type="dxa" w:w="70"/>
              <w:right w:type="dxa" w:w="110"/>
            </w:tcMar>
            <w:vAlign w:val="center"/>
          </w:tcPr>
          <w:p>
            <w:pPr>
              <w:jc w:val="left"/>
            </w:pPr>
            <w:r>
              <w:rPr>
                <w:rFonts w:ascii="Arial" w:cs="Arial" w:eastAsia="Arial" w:hAnsi="Arial"/>
                <w:b/>
                <w:bCs/>
                <w:color w:val="F5F1E6"/>
                <w:sz w:val="19"/>
                <w:szCs w:val="19"/>
              </w:rPr>
              <w:t xml:space="preserve">Scenario</w:t>
            </w:r>
          </w:p>
        </w:tc>
        <w:tc>
          <w:tcPr>
            <w:tcW w:type="pct" w:w="18%"/>
            <w:shd w:fill="2A2620" w:color="auto" w:val="clear"/>
            <w:tcMar>
              <w:top w:type="dxa" w:w="70"/>
              <w:left w:type="dxa" w:w="110"/>
              <w:bottom w:type="dxa" w:w="70"/>
              <w:right w:type="dxa" w:w="110"/>
            </w:tcMar>
            <w:vAlign w:val="center"/>
          </w:tcPr>
          <w:p>
            <w:pPr>
              <w:jc w:val="center"/>
            </w:pPr>
            <w:r>
              <w:rPr>
                <w:rFonts w:ascii="Arial" w:cs="Arial" w:eastAsia="Arial" w:hAnsi="Arial"/>
                <w:b/>
                <w:bCs/>
                <w:color w:val="F5F1E6"/>
                <w:sz w:val="19"/>
                <w:szCs w:val="19"/>
              </w:rPr>
              <w:t xml:space="preserve">Terminal growth</w:t>
            </w:r>
          </w:p>
        </w:tc>
        <w:tc>
          <w:tcPr>
            <w:tcW w:type="pct" w:w="18%"/>
            <w:shd w:fill="2A2620" w:color="auto" w:val="clear"/>
            <w:tcMar>
              <w:top w:type="dxa" w:w="70"/>
              <w:left w:type="dxa" w:w="110"/>
              <w:bottom w:type="dxa" w:w="70"/>
              <w:right w:type="dxa" w:w="110"/>
            </w:tcMar>
            <w:vAlign w:val="center"/>
          </w:tcPr>
          <w:p>
            <w:pPr>
              <w:jc w:val="center"/>
            </w:pPr>
            <w:r>
              <w:rPr>
                <w:rFonts w:ascii="Arial" w:cs="Arial" w:eastAsia="Arial" w:hAnsi="Arial"/>
                <w:b/>
                <w:bCs/>
                <w:color w:val="F5F1E6"/>
                <w:sz w:val="19"/>
                <w:szCs w:val="19"/>
              </w:rPr>
              <w:t xml:space="preserve">Value / share</w:t>
            </w:r>
          </w:p>
        </w:tc>
        <w:tc>
          <w:tcPr>
            <w:tcW w:type="pct" w:w="18%"/>
            <w:shd w:fill="2A2620" w:color="auto" w:val="clear"/>
            <w:tcMar>
              <w:top w:type="dxa" w:w="70"/>
              <w:left w:type="dxa" w:w="110"/>
              <w:bottom w:type="dxa" w:w="70"/>
              <w:right w:type="dxa" w:w="110"/>
            </w:tcMar>
            <w:vAlign w:val="center"/>
          </w:tcPr>
          <w:p>
            <w:pPr>
              <w:jc w:val="center"/>
            </w:pPr>
            <w:r>
              <w:rPr>
                <w:rFonts w:ascii="Arial" w:cs="Arial" w:eastAsia="Arial" w:hAnsi="Arial"/>
                <w:b/>
                <w:bCs/>
                <w:color w:val="F5F1E6"/>
                <w:sz w:val="19"/>
                <w:szCs w:val="19"/>
              </w:rPr>
              <w:t xml:space="preserve">Upside / (downside)</w:t>
            </w:r>
          </w:p>
        </w:tc>
        <w:tc>
          <w:tcPr>
            <w:tcW w:type="pct" w:w="16%"/>
            <w:shd w:fill="2A2620" w:color="auto" w:val="clear"/>
            <w:tcMar>
              <w:top w:type="dxa" w:w="70"/>
              <w:left w:type="dxa" w:w="110"/>
              <w:bottom w:type="dxa" w:w="70"/>
              <w:right w:type="dxa" w:w="110"/>
            </w:tcMar>
            <w:vAlign w:val="center"/>
          </w:tcPr>
          <w:p>
            <w:pPr>
              <w:jc w:val="center"/>
            </w:pPr>
            <w:r>
              <w:rPr>
                <w:rFonts w:ascii="Arial" w:cs="Arial" w:eastAsia="Arial" w:hAnsi="Arial"/>
                <w:b/>
                <w:bCs/>
                <w:color w:val="F5F1E6"/>
                <w:sz w:val="19"/>
                <w:szCs w:val="19"/>
              </w:rPr>
              <w:t xml:space="preserve">IRR (4y)</w:t>
            </w:r>
          </w:p>
        </w:tc>
      </w:tr>
      <w:tr>
        <w:tc>
          <w:tcPr>
            <w:tcW w:type="pct" w:w="30%"/>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Bear (25%)</w:t>
            </w:r>
          </w:p>
        </w:tc>
        <w:tc>
          <w:tcPr>
            <w:tcW w:type="pct" w:w="18%"/>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2.5%</w:t>
            </w:r>
          </w:p>
        </w:tc>
        <w:tc>
          <w:tcPr>
            <w:tcW w:type="pct" w:w="18%"/>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SAR 10.03</w:t>
            </w:r>
          </w:p>
        </w:tc>
        <w:tc>
          <w:tcPr>
            <w:tcW w:type="pct" w:w="18%"/>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-21.6%</w:t>
            </w:r>
          </w:p>
        </w:tc>
        <w:tc>
          <w:tcPr>
            <w:tcW w:type="pct" w:w="16%"/>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7.0%</w:t>
            </w:r>
          </w:p>
        </w:tc>
      </w:tr>
      <w:tr>
        <w:tc>
          <w:tcPr>
            <w:tcW w:type="pct" w:w="30%"/>
            <w:shd w:fill="FBF9F4" w:color="auto" w:val="clear"/>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Base (50%)</w:t>
            </w:r>
          </w:p>
        </w:tc>
        <w:tc>
          <w:tcPr>
            <w:tcW w:type="pct" w:w="18%"/>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3.0%</w:t>
            </w:r>
          </w:p>
        </w:tc>
        <w:tc>
          <w:tcPr>
            <w:tcW w:type="pct" w:w="18%"/>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SAR 14.36</w:t>
            </w:r>
          </w:p>
        </w:tc>
        <w:tc>
          <w:tcPr>
            <w:tcW w:type="pct" w:w="18%"/>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+12.3%</w:t>
            </w:r>
          </w:p>
        </w:tc>
        <w:tc>
          <w:tcPr>
            <w:tcW w:type="pct" w:w="16%"/>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17.1%</w:t>
            </w:r>
          </w:p>
        </w:tc>
      </w:tr>
      <w:tr>
        <w:tc>
          <w:tcPr>
            <w:tcW w:type="pct" w:w="30%"/>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Bull (25%)</w:t>
            </w:r>
          </w:p>
        </w:tc>
        <w:tc>
          <w:tcPr>
            <w:tcW w:type="pct" w:w="18%"/>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3.5%</w:t>
            </w:r>
          </w:p>
        </w:tc>
        <w:tc>
          <w:tcPr>
            <w:tcW w:type="pct" w:w="18%"/>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SAR 19.24</w:t>
            </w:r>
          </w:p>
        </w:tc>
        <w:tc>
          <w:tcPr>
            <w:tcW w:type="pct" w:w="18%"/>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+50.4%</w:t>
            </w:r>
          </w:p>
        </w:tc>
        <w:tc>
          <w:tcPr>
            <w:tcW w:type="pct" w:w="16%"/>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25.9%</w:t>
            </w:r>
          </w:p>
        </w:tc>
      </w:tr>
      <w:tr>
        <w:tc>
          <w:tcPr>
            <w:tcW w:type="pct" w:w="30%"/>
            <w:shd w:fill="FBF9F4" w:color="auto" w:val="clear"/>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Probability-weighted</w:t>
            </w:r>
          </w:p>
        </w:tc>
        <w:tc>
          <w:tcPr>
            <w:tcW w:type="pct" w:w="18%"/>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w:t>
            </w:r>
          </w:p>
        </w:tc>
        <w:tc>
          <w:tcPr>
            <w:tcW w:type="pct" w:w="18%"/>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SAR 14.50</w:t>
            </w:r>
          </w:p>
        </w:tc>
        <w:tc>
          <w:tcPr>
            <w:tcW w:type="pct" w:w="18%"/>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w:t>
            </w:r>
          </w:p>
        </w:tc>
        <w:tc>
          <w:tcPr>
            <w:tcW w:type="pct" w:w="16%"/>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16.8%</w:t>
            </w:r>
          </w:p>
        </w:tc>
      </w:tr>
    </w:tbl>
    <w:p>
      <w:pPr>
        <w:spacing w:after="200" w:before="40"/>
      </w:pPr>
      <w:r>
        <w:rPr>
          <w:rFonts w:ascii="Arial" w:cs="Arial" w:eastAsia="Arial" w:hAnsi="Arial"/>
          <w:i/>
          <w:iCs/>
          <w:color w:val="6B6455"/>
          <w:sz w:val="17"/>
          <w:szCs w:val="17"/>
        </w:rPr>
        <w:t xml:space="preserve">Source: Faheem Valuation Model, DCF and Scenarios &amp; Risk tabs (WACC 13.3%, cost of equity 13.7%).</w:t>
      </w:r>
    </w:p>
    <w:p>
      <w:pPr>
        <w:pBdr>
          <w:bottom w:val="single" w:color="D8D2C4" w:sz="4"/>
        </w:pBdr>
        <w:spacing w:after="90" w:before="220"/>
      </w:pPr>
      <w:r>
        <w:rPr>
          <w:rFonts w:ascii="Arial" w:cs="Arial" w:eastAsia="Arial" w:hAnsi="Arial"/>
          <w:b/>
          <w:bCs/>
          <w:color w:val="514B40"/>
          <w:sz w:val="24"/>
          <w:szCs w:val="24"/>
        </w:rPr>
        <w:t xml:space="preserve">Return summary</w:t>
      </w:r>
    </w:p>
    <w:tbl>
      <w:tblPr>
        <w:tblW w:type="pct" w:w="100%"/>
        <w:tblBorders>
          <w:top w:val="single" w:color="B7AF9C" w:sz="4"/>
          <w:left w:val="single" w:color="B7AF9C" w:sz="4"/>
          <w:bottom w:val="single" w:color="B7AF9C" w:sz="4"/>
          <w:right w:val="single" w:color="B7AF9C" w:sz="4"/>
          <w:insideH w:val="single" w:color="D8D2C4" w:sz="4"/>
          <w:insideV w:val="single" w:color="D8D2C4" w:sz="4"/>
        </w:tblBorders>
      </w:tblPr>
      <w:tblGrid>
        <w:gridCol w:w="100"/>
        <w:gridCol w:w="100"/>
      </w:tblGrid>
      <w:tr>
        <w:trPr>
          <w:tblHeader/>
        </w:trPr>
        <w:tc>
          <w:tcPr>
            <w:tcW w:type="pct" w:w="55%"/>
            <w:shd w:fill="2A2620" w:color="auto" w:val="clear"/>
            <w:tcMar>
              <w:top w:type="dxa" w:w="70"/>
              <w:left w:type="dxa" w:w="110"/>
              <w:bottom w:type="dxa" w:w="70"/>
              <w:right w:type="dxa" w:w="110"/>
            </w:tcMar>
            <w:vAlign w:val="center"/>
          </w:tcPr>
          <w:p>
            <w:pPr>
              <w:jc w:val="left"/>
            </w:pPr>
            <w:r>
              <w:rPr>
                <w:rFonts w:ascii="Arial" w:cs="Arial" w:eastAsia="Arial" w:hAnsi="Arial"/>
                <w:b/>
                <w:bCs/>
                <w:color w:val="F5F1E6"/>
                <w:sz w:val="19"/>
                <w:szCs w:val="19"/>
              </w:rPr>
              <w:t xml:space="preserve">Metric</w:t>
            </w:r>
          </w:p>
        </w:tc>
        <w:tc>
          <w:tcPr>
            <w:tcW w:type="pct" w:w="45%"/>
            <w:shd w:fill="2A2620" w:color="auto" w:val="clear"/>
            <w:tcMar>
              <w:top w:type="dxa" w:w="70"/>
              <w:left w:type="dxa" w:w="110"/>
              <w:bottom w:type="dxa" w:w="70"/>
              <w:right w:type="dxa" w:w="110"/>
            </w:tcMar>
            <w:vAlign w:val="center"/>
          </w:tcPr>
          <w:p>
            <w:pPr>
              <w:jc w:val="center"/>
            </w:pPr>
            <w:r>
              <w:rPr>
                <w:rFonts w:ascii="Arial" w:cs="Arial" w:eastAsia="Arial" w:hAnsi="Arial"/>
                <w:b/>
                <w:bCs/>
                <w:color w:val="F5F1E6"/>
                <w:sz w:val="19"/>
                <w:szCs w:val="19"/>
              </w:rPr>
              <w:t xml:space="preserve">Value</w:t>
            </w:r>
          </w:p>
        </w:tc>
      </w:tr>
      <w:tr>
        <w:tc>
          <w:tcPr>
            <w:tcW w:type="pct" w:w="55%"/>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Current price (close)</w:t>
            </w:r>
          </w:p>
        </w:tc>
        <w:tc>
          <w:tcPr>
            <w:tcW w:type="pct" w:w="45%"/>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SAR 12.79</w:t>
            </w:r>
          </w:p>
        </w:tc>
      </w:tr>
      <w:tr>
        <w:tc>
          <w:tcPr>
            <w:tcW w:type="pct" w:w="55%"/>
            <w:shd w:fill="FBF9F4" w:color="auto" w:val="clear"/>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Base-case value per share (DCF)</w:t>
            </w:r>
          </w:p>
        </w:tc>
        <w:tc>
          <w:tcPr>
            <w:tcW w:type="pct" w:w="45%"/>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SAR 14.36</w:t>
            </w:r>
          </w:p>
        </w:tc>
      </w:tr>
      <w:tr>
        <w:tc>
          <w:tcPr>
            <w:tcW w:type="pct" w:w="55%"/>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Implied upside vs close</w:t>
            </w:r>
          </w:p>
        </w:tc>
        <w:tc>
          <w:tcPr>
            <w:tcW w:type="pct" w:w="45%"/>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+12.3%</w:t>
            </w:r>
          </w:p>
        </w:tc>
      </w:tr>
      <w:tr>
        <w:tc>
          <w:tcPr>
            <w:tcW w:type="pct" w:w="55%"/>
            <w:shd w:fill="FBF9F4" w:color="auto" w:val="clear"/>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Base-case IRR (4-year hold)</w:t>
            </w:r>
          </w:p>
        </w:tc>
        <w:tc>
          <w:tcPr>
            <w:tcW w:type="pct" w:w="45%"/>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17.1%</w:t>
            </w:r>
          </w:p>
        </w:tc>
      </w:tr>
      <w:tr>
        <w:tc>
          <w:tcPr>
            <w:tcW w:type="pct" w:w="55%"/>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Scenario-weighted value per share</w:t>
            </w:r>
          </w:p>
        </w:tc>
        <w:tc>
          <w:tcPr>
            <w:tcW w:type="pct" w:w="45%"/>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SAR 14.50</w:t>
            </w:r>
          </w:p>
        </w:tc>
      </w:tr>
      <w:tr>
        <w:tc>
          <w:tcPr>
            <w:tcW w:type="pct" w:w="55%"/>
            <w:shd w:fill="FBF9F4" w:color="auto" w:val="clear"/>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Scenario-weighted expected return</w:t>
            </w:r>
          </w:p>
        </w:tc>
        <w:tc>
          <w:tcPr>
            <w:tcW w:type="pct" w:w="45%"/>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16.8%</w:t>
            </w:r>
          </w:p>
        </w:tc>
      </w:tr>
      <w:tr>
        <w:tc>
          <w:tcPr>
            <w:tcW w:type="pct" w:w="55%"/>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Benchmark (Lunar mandate, gross IRR)</w:t>
            </w:r>
          </w:p>
        </w:tc>
        <w:tc>
          <w:tcPr>
            <w:tcW w:type="pct" w:w="45%"/>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15.0%</w:t>
            </w:r>
          </w:p>
        </w:tc>
      </w:tr>
    </w:tbl>
    <w:p>
      <w:pPr>
        <w:spacing w:after="200" w:before="40"/>
      </w:pPr>
      <w:r>
        <w:rPr>
          <w:rFonts w:ascii="Arial" w:cs="Arial" w:eastAsia="Arial" w:hAnsi="Arial"/>
          <w:i/>
          <w:iCs/>
          <w:color w:val="6B6455"/>
          <w:sz w:val="17"/>
          <w:szCs w:val="17"/>
        </w:rPr>
        <w:t xml:space="preserve">Source: Faheem Valuation Model; Lunar IC Charter &amp; Investment Mandate, p.3.</w:t>
      </w:r>
    </w:p>
    <w:p>
      <w:pPr>
        <w:pBdr>
          <w:bottom w:val="single" w:color="D8D2C4" w:sz="4"/>
        </w:pBdr>
        <w:spacing w:after="90" w:before="220"/>
      </w:pPr>
      <w:r>
        <w:rPr>
          <w:rFonts w:ascii="Arial" w:cs="Arial" w:eastAsia="Arial" w:hAnsi="Arial"/>
          <w:b/>
          <w:bCs/>
          <w:color w:val="514B40"/>
          <w:sz w:val="24"/>
          <w:szCs w:val="24"/>
        </w:rPr>
        <w:t xml:space="preserve">Benchmark and mandate check</w:t>
      </w:r>
    </w:p>
    <w:p>
      <w:pPr>
        <w:spacing w:after="160" w:line="264"/>
        <w:jc w:val="both"/>
      </w:pPr>
      <w:r>
        <w:rPr>
          <w:rFonts w:ascii="Arial" w:cs="Arial" w:eastAsia="Arial" w:hAnsi="Arial"/>
          <w:color w:val="2A2620"/>
          <w:sz w:val="21"/>
          <w:szCs w:val="21"/>
        </w:rPr>
        <w:t xml:space="preserve">Against the Lunar Investment Mandate: the scenario-weighted expected return of 16.8% clears the 15.0% gross-IRR Benchmark (Lunar IC Charter, p.3), with the base case at 17.1%. A position would be sized within the mandate's 10% single-name concentration cap (Lunar IC Charter, p.4), subject to ticket sizing at the Investment Committee's discretion, and the Tadawul listing (6017) with active daily trading satisfies the liquidity requirement for public-equity allocations (Lunar IC Charter, p.4). Because the bear case in isolation (7.0%) sits below the Benchmark, the mandate-fit case rests on the probability-weighted return, and the Committee should weigh that sensitivity explicitly.</w:t>
      </w:r>
    </w:p>
    <w:tbl>
      <w:tblPr>
        <w:tblW w:type="pct" w:w="100%"/>
        <w:tblBorders>
          <w:top w:val="single" w:color="B7AF9C" w:sz="4"/>
          <w:left w:val="single" w:color="B7AF9C" w:sz="4"/>
          <w:bottom w:val="single" w:color="B7AF9C" w:sz="4"/>
          <w:right w:val="single" w:color="B7AF9C" w:sz="4"/>
          <w:insideH w:val="single" w:color="D8D2C4" w:sz="4"/>
          <w:insideV w:val="single" w:color="D8D2C4" w:sz="4"/>
        </w:tblBorders>
      </w:tblPr>
      <w:tblGrid>
        <w:gridCol w:w="100"/>
        <w:gridCol w:w="100"/>
        <w:gridCol w:w="100"/>
      </w:tblGrid>
      <w:tr>
        <w:trPr>
          <w:tblHeader/>
        </w:trPr>
        <w:tc>
          <w:tcPr>
            <w:tcW w:type="pct" w:w="34%"/>
            <w:shd w:fill="2A2620" w:color="auto" w:val="clear"/>
            <w:tcMar>
              <w:top w:type="dxa" w:w="70"/>
              <w:left w:type="dxa" w:w="110"/>
              <w:bottom w:type="dxa" w:w="70"/>
              <w:right w:type="dxa" w:w="110"/>
            </w:tcMar>
            <w:vAlign w:val="center"/>
          </w:tcPr>
          <w:p>
            <w:pPr>
              <w:jc w:val="left"/>
            </w:pPr>
            <w:r>
              <w:rPr>
                <w:rFonts w:ascii="Arial" w:cs="Arial" w:eastAsia="Arial" w:hAnsi="Arial"/>
                <w:b/>
                <w:bCs/>
                <w:color w:val="F5F1E6"/>
                <w:sz w:val="19"/>
                <w:szCs w:val="19"/>
              </w:rPr>
              <w:t xml:space="preserve">Criterion</w:t>
            </w:r>
          </w:p>
        </w:tc>
        <w:tc>
          <w:tcPr>
            <w:tcW w:type="pct" w:w="30%"/>
            <w:shd w:fill="2A2620" w:color="auto" w:val="clear"/>
            <w:tcMar>
              <w:top w:type="dxa" w:w="70"/>
              <w:left w:type="dxa" w:w="110"/>
              <w:bottom w:type="dxa" w:w="70"/>
              <w:right w:type="dxa" w:w="110"/>
            </w:tcMar>
            <w:vAlign w:val="center"/>
          </w:tcPr>
          <w:p>
            <w:pPr>
              <w:jc w:val="center"/>
            </w:pPr>
            <w:r>
              <w:rPr>
                <w:rFonts w:ascii="Arial" w:cs="Arial" w:eastAsia="Arial" w:hAnsi="Arial"/>
                <w:b/>
                <w:bCs/>
                <w:color w:val="F5F1E6"/>
                <w:sz w:val="19"/>
                <w:szCs w:val="19"/>
              </w:rPr>
              <w:t xml:space="preserve">Status</w:t>
            </w:r>
          </w:p>
        </w:tc>
        <w:tc>
          <w:tcPr>
            <w:tcW w:type="pct" w:w="36%"/>
            <w:shd w:fill="2A2620" w:color="auto" w:val="clear"/>
            <w:tcMar>
              <w:top w:type="dxa" w:w="70"/>
              <w:left w:type="dxa" w:w="110"/>
              <w:bottom w:type="dxa" w:w="70"/>
              <w:right w:type="dxa" w:w="110"/>
            </w:tcMar>
            <w:vAlign w:val="center"/>
          </w:tcPr>
          <w:p>
            <w:pPr>
              <w:jc w:val="center"/>
            </w:pPr>
            <w:r>
              <w:rPr>
                <w:rFonts w:ascii="Arial" w:cs="Arial" w:eastAsia="Arial" w:hAnsi="Arial"/>
                <w:b/>
                <w:bCs/>
                <w:color w:val="F5F1E6"/>
                <w:sz w:val="19"/>
                <w:szCs w:val="19"/>
              </w:rPr>
              <w:t xml:space="preserve">Detail</w:t>
            </w:r>
          </w:p>
        </w:tc>
      </w:tr>
      <w:tr>
        <w:tc>
          <w:tcPr>
            <w:tcW w:type="pct" w:w="34%"/>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IRR Benchmark (15%)</w:t>
            </w:r>
          </w:p>
        </w:tc>
        <w:tc>
          <w:tcPr>
            <w:tcW w:type="pct" w:w="30%"/>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PASS</w:t>
            </w:r>
          </w:p>
        </w:tc>
        <w:tc>
          <w:tcPr>
            <w:tcW w:type="pct" w:w="36%"/>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Weighted return 16.8% vs the 15.0% Benchmark</w:t>
            </w:r>
          </w:p>
        </w:tc>
      </w:tr>
      <w:tr>
        <w:tc>
          <w:tcPr>
            <w:tcW w:type="pct" w:w="34%"/>
            <w:shd w:fill="FBF9F4" w:color="auto" w:val="clear"/>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Single-name concentration (10% cap)</w:t>
            </w:r>
          </w:p>
        </w:tc>
        <w:tc>
          <w:tcPr>
            <w:tcW w:type="pct" w:w="30%"/>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PASS (subject to ticket sizing)</w:t>
            </w:r>
          </w:p>
        </w:tc>
        <w:tc>
          <w:tcPr>
            <w:tcW w:type="pct" w:w="36%"/>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Public-equity position sized within the mandate cap by the Investment Committee</w:t>
            </w:r>
          </w:p>
        </w:tc>
      </w:tr>
      <w:tr>
        <w:tc>
          <w:tcPr>
            <w:tcW w:type="pct" w:w="34%"/>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Liquidity</w:t>
            </w:r>
          </w:p>
        </w:tc>
        <w:tc>
          <w:tcPr>
            <w:tcW w:type="pct" w:w="30%"/>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PASS</w:t>
            </w:r>
          </w:p>
        </w:tc>
        <w:tc>
          <w:tcPr>
            <w:tcW w:type="pct" w:w="36%"/>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Tadawul-listed (6017) with active daily trading</w:t>
            </w:r>
          </w:p>
        </w:tc>
      </w:tr>
    </w:tbl>
    <w:p>
      <w:pPr>
        <w:spacing w:after="200" w:before="40"/>
      </w:pPr>
      <w:r>
        <w:rPr>
          <w:rFonts w:ascii="Arial" w:cs="Arial" w:eastAsia="Arial" w:hAnsi="Arial"/>
          <w:i/>
          <w:iCs/>
          <w:color w:val="6B6455"/>
          <w:sz w:val="17"/>
          <w:szCs w:val="17"/>
        </w:rPr>
        <w:t xml:space="preserve">Source: Lunar IC Charter &amp; Investment Mandate, p.3-4.</w:t>
      </w:r>
    </w:p>
    <w:p>
      <w:pPr>
        <w:spacing w:after="0" w:before="220"/>
      </w:pPr>
    </w:p>
    <w:p>
      <w:pPr>
        <w:pStyle w:val="Heading1"/>
        <w:pBdr>
          <w:bottom w:val="single" w:color="B08D2A" w:sz="12"/>
        </w:pBdr>
        <w:shd w:fill="2A2620" w:color="auto" w:val="clear"/>
        <w:spacing w:after="240" w:before="90"/>
        <w:ind w:left="172"/>
      </w:pPr>
      <w:r>
        <w:rPr>
          <w:rFonts w:ascii="Georgia" w:cs="Georgia" w:eastAsia="Georgia" w:hAnsi="Georgia"/>
          <w:b/>
          <w:bCs/>
          <w:color w:val="F5F1E6"/>
          <w:sz w:val="28"/>
          <w:szCs w:val="28"/>
        </w:rPr>
        <w:t xml:space="preserve">Key Strengths and Concerns</w:t>
      </w:r>
    </w:p>
    <w:p>
      <w:pPr>
        <w:pBdr>
          <w:bottom w:val="single" w:color="D8D2C4" w:sz="4"/>
        </w:pBdr>
        <w:spacing w:after="90" w:before="220"/>
      </w:pPr>
      <w:r>
        <w:rPr>
          <w:rFonts w:ascii="Arial" w:cs="Arial" w:eastAsia="Arial" w:hAnsi="Arial"/>
          <w:b/>
          <w:bCs/>
          <w:color w:val="514B40"/>
          <w:sz w:val="24"/>
          <w:szCs w:val="24"/>
        </w:rPr>
        <w:t xml:space="preserve">Key strengths</w:t>
      </w:r>
    </w:p>
    <w:p>
      <w:pPr>
        <w:pStyle w:val="ListParagraph"/>
        <w:numPr>
          <w:ilvl w:val="0"/>
          <w:numId w:val="1"/>
        </w:numPr>
        <w:spacing w:after="110" w:line="256"/>
        <w:jc w:val="both"/>
      </w:pPr>
      <w:r>
        <w:rPr>
          <w:rFonts w:ascii="Arial" w:cs="Arial" w:eastAsia="Arial" w:hAnsi="Arial"/>
          <w:b/>
          <w:bCs/>
          <w:color w:val="2A2620"/>
          <w:sz w:val="21"/>
          <w:szCs w:val="21"/>
        </w:rPr>
        <w:t xml:space="preserve">Diversification beyond single-vertical delivery: </w:t>
      </w:r>
      <w:r>
        <w:rPr>
          <w:rFonts w:ascii="Arial" w:cs="Arial" w:eastAsia="Arial" w:hAnsi="Arial"/>
          <w:color w:val="2A2620"/>
          <w:sz w:val="21"/>
          <w:szCs w:val="21"/>
        </w:rPr>
        <w:t xml:space="preserve">The Q4-2025 Snoonu consolidation contributed SAR 626.8m of Group GMV (SAR 2,360.0m) from an October start and SAR 53.7m of positive adjusted EBITDA, and the Logistics segment reached SAR 428.8m of FY2025A net revenue. The revenue base is measurably less dependent on the single KSA food-delivery vertical than a year earlier.</w:t>
      </w:r>
    </w:p>
    <w:p>
      <w:pPr>
        <w:pStyle w:val="ListParagraph"/>
        <w:numPr>
          <w:ilvl w:val="0"/>
          <w:numId w:val="1"/>
        </w:numPr>
        <w:spacing w:after="110" w:line="256"/>
        <w:jc w:val="both"/>
      </w:pPr>
      <w:r>
        <w:rPr>
          <w:rFonts w:ascii="Arial" w:cs="Arial" w:eastAsia="Arial" w:hAnsi="Arial"/>
          <w:b/>
          <w:bCs/>
          <w:color w:val="2A2620"/>
          <w:sz w:val="21"/>
          <w:szCs w:val="21"/>
        </w:rPr>
        <w:t xml:space="preserve">Volume growth sustained through a competitive market: </w:t>
      </w:r>
      <w:r>
        <w:rPr>
          <w:rFonts w:ascii="Arial" w:cs="Arial" w:eastAsia="Arial" w:hAnsi="Arial"/>
          <w:color w:val="2A2620"/>
          <w:sz w:val="21"/>
          <w:szCs w:val="21"/>
        </w:rPr>
        <w:t xml:space="preserve">Orders grew +5.3% YoY to 111.6m and GMV +10.8% to SAR 7,245.2m in FY2025A, while group take rate held at 15.4% (14.6% FY2024A): commission monetisation was maintained through a period of delivery-fee discounting across the market.</w:t>
      </w:r>
    </w:p>
    <w:p>
      <w:pPr>
        <w:pStyle w:val="ListParagraph"/>
        <w:numPr>
          <w:ilvl w:val="0"/>
          <w:numId w:val="1"/>
        </w:numPr>
        <w:spacing w:after="110" w:line="256"/>
        <w:jc w:val="both"/>
      </w:pPr>
      <w:r>
        <w:rPr>
          <w:rFonts w:ascii="Arial" w:cs="Arial" w:eastAsia="Arial" w:hAnsi="Arial"/>
          <w:b/>
          <w:bCs/>
          <w:color w:val="2A2620"/>
          <w:sz w:val="21"/>
          <w:szCs w:val="21"/>
        </w:rPr>
        <w:t xml:space="preserve">Positive operating cash profit through a loss-making quarter: </w:t>
      </w:r>
      <w:r>
        <w:rPr>
          <w:rFonts w:ascii="Arial" w:cs="Arial" w:eastAsia="Arial" w:hAnsi="Arial"/>
          <w:color w:val="2A2620"/>
          <w:sz w:val="21"/>
          <w:szCs w:val="21"/>
        </w:rPr>
        <w:t xml:space="preserve">FY2025A adjusted EBITDA of SAR 193.0m and Q1-2026A adjusted EBITDA of SAR 43.6m remained positive through the SAR 9.2m Q1-2026A net loss; the identified Q4-2025 one-off items (SAR 55.4m) are itemised in the filings and sit outside the adjusted-EBITDA line.</w:t>
      </w:r>
    </w:p>
    <w:p>
      <w:pPr>
        <w:pStyle w:val="ListParagraph"/>
        <w:numPr>
          <w:ilvl w:val="0"/>
          <w:numId w:val="1"/>
        </w:numPr>
        <w:spacing w:after="110" w:line="256"/>
        <w:jc w:val="both"/>
      </w:pPr>
      <w:r>
        <w:rPr>
          <w:rFonts w:ascii="Arial" w:cs="Arial" w:eastAsia="Arial" w:hAnsi="Arial"/>
          <w:b/>
          <w:bCs/>
          <w:color w:val="2A2620"/>
          <w:sz w:val="21"/>
          <w:szCs w:val="21"/>
        </w:rPr>
        <w:t xml:space="preserve">Net-cash, asset-light balance sheet: </w:t>
      </w:r>
      <w:r>
        <w:rPr>
          <w:rFonts w:ascii="Arial" w:cs="Arial" w:eastAsia="Arial" w:hAnsi="Arial"/>
          <w:color w:val="2A2620"/>
          <w:sz w:val="21"/>
          <w:szCs w:val="21"/>
        </w:rPr>
        <w:t xml:space="preserve">The balance sheet carries SAR 16.6m of net cash against SAR 161.2m of Islamic facilities and loans (Q1 2026 Financial Statements). The platform model requires minimal fixed capital, and both IC Charter compliance ratios sit inside the 33% threshold (6.01% debt / market cap, 19.03% cash / market cap).</w:t>
      </w:r>
    </w:p>
    <w:p>
      <w:pPr>
        <w:pBdr>
          <w:bottom w:val="single" w:color="D8D2C4" w:sz="4"/>
        </w:pBdr>
        <w:spacing w:after="90" w:before="220"/>
      </w:pPr>
      <w:r>
        <w:rPr>
          <w:rFonts w:ascii="Arial" w:cs="Arial" w:eastAsia="Arial" w:hAnsi="Arial"/>
          <w:b/>
          <w:bCs/>
          <w:color w:val="514B40"/>
          <w:sz w:val="24"/>
          <w:szCs w:val="24"/>
        </w:rPr>
        <w:t xml:space="preserve">Key concerns</w:t>
      </w:r>
    </w:p>
    <w:p>
      <w:pPr>
        <w:pStyle w:val="ListParagraph"/>
        <w:numPr>
          <w:ilvl w:val="0"/>
          <w:numId w:val="1"/>
        </w:numPr>
        <w:spacing w:after="110" w:line="256"/>
        <w:jc w:val="both"/>
      </w:pPr>
      <w:r>
        <w:rPr>
          <w:rFonts w:ascii="Arial" w:cs="Arial" w:eastAsia="Arial" w:hAnsi="Arial"/>
          <w:b/>
          <w:bCs/>
          <w:color w:val="2A2620"/>
          <w:sz w:val="21"/>
          <w:szCs w:val="21"/>
        </w:rPr>
        <w:t xml:space="preserve">Price-war margin compression: </w:t>
      </w:r>
      <w:r>
        <w:rPr>
          <w:rFonts w:ascii="Arial" w:cs="Arial" w:eastAsia="Arial" w:hAnsi="Arial"/>
          <w:color w:val="2A2620"/>
          <w:sz w:val="21"/>
          <w:szCs w:val="21"/>
        </w:rPr>
        <w:t xml:space="preserve">Delivery-fee discounting led by the well-funded Keeta entry is the dominant modelled risk: adjusted EBITDA margin contracted ~300 bps to 8.3% in FY2025A and Q1-2026A printed a SAR 9.2m net loss. The bear case prices a deeper and longer compression (SAR 10.03 per share, 7.0% IRR).</w:t>
      </w:r>
    </w:p>
    <w:p>
      <w:pPr>
        <w:pStyle w:val="ListParagraph"/>
        <w:numPr>
          <w:ilvl w:val="0"/>
          <w:numId w:val="1"/>
        </w:numPr>
        <w:spacing w:after="110" w:line="256"/>
        <w:jc w:val="both"/>
      </w:pPr>
      <w:r>
        <w:rPr>
          <w:rFonts w:ascii="Arial" w:cs="Arial" w:eastAsia="Arial" w:hAnsi="Arial"/>
          <w:b/>
          <w:bCs/>
          <w:color w:val="2A2620"/>
          <w:sz w:val="21"/>
          <w:szCs w:val="21"/>
        </w:rPr>
        <w:t xml:space="preserve">Further well-capitalised entrants: </w:t>
      </w:r>
      <w:r>
        <w:rPr>
          <w:rFonts w:ascii="Arial" w:cs="Arial" w:eastAsia="Arial" w:hAnsi="Arial"/>
          <w:color w:val="2A2620"/>
          <w:sz w:val="21"/>
          <w:szCs w:val="21"/>
        </w:rPr>
        <w:t xml:space="preserve">Beyond the incumbent field, Rabbit, the Ninja unicorn and Dingdong are identified in the industry pack as funded entrants competing primarily on price (Industry &amp; News Pack, p.2, p.4). Sustained entry would extend the discounting cycle the FY2025A margins already reflect.</w:t>
      </w:r>
    </w:p>
    <w:p>
      <w:pPr>
        <w:pStyle w:val="ListParagraph"/>
        <w:numPr>
          <w:ilvl w:val="0"/>
          <w:numId w:val="1"/>
        </w:numPr>
        <w:spacing w:after="110" w:line="256"/>
        <w:jc w:val="both"/>
      </w:pPr>
      <w:r>
        <w:rPr>
          <w:rFonts w:ascii="Arial" w:cs="Arial" w:eastAsia="Arial" w:hAnsi="Arial"/>
          <w:b/>
          <w:bCs/>
          <w:color w:val="2A2620"/>
          <w:sz w:val="21"/>
          <w:szCs w:val="21"/>
        </w:rPr>
        <w:t xml:space="preserve">One-off items and impairment recurrence: </w:t>
      </w:r>
      <w:r>
        <w:rPr>
          <w:rFonts w:ascii="Arial" w:cs="Arial" w:eastAsia="Arial" w:hAnsi="Arial"/>
          <w:color w:val="2A2620"/>
          <w:sz w:val="21"/>
          <w:szCs w:val="21"/>
        </w:rPr>
        <w:t xml:space="preserve">FY2025A carried SAR 55.4m of Q4 one-off items across the Red Color impairment, Marn goodwill impairment, Others-segment ECL and Snoonu deal costs. A further impairment cycle would indicate the items are not fully one-time; the monitoring plan treats any recurrence as a trigger to re-run the scenario weights.</w:t>
      </w:r>
    </w:p>
    <w:p>
      <w:pPr>
        <w:pStyle w:val="ListParagraph"/>
        <w:numPr>
          <w:ilvl w:val="0"/>
          <w:numId w:val="1"/>
        </w:numPr>
        <w:spacing w:after="110" w:line="256"/>
        <w:jc w:val="both"/>
      </w:pPr>
      <w:r>
        <w:rPr>
          <w:rFonts w:ascii="Arial" w:cs="Arial" w:eastAsia="Arial" w:hAnsi="Arial"/>
          <w:b/>
          <w:bCs/>
          <w:color w:val="2A2620"/>
          <w:sz w:val="21"/>
          <w:szCs w:val="21"/>
        </w:rPr>
        <w:t xml:space="preserve">Bear case falls below the Benchmark: </w:t>
      </w:r>
      <w:r>
        <w:rPr>
          <w:rFonts w:ascii="Arial" w:cs="Arial" w:eastAsia="Arial" w:hAnsi="Arial"/>
          <w:color w:val="2A2620"/>
          <w:sz w:val="21"/>
          <w:szCs w:val="21"/>
        </w:rPr>
        <w:t xml:space="preserve">The mandate-fit case rests on the 16.8% probability-weighted return rather than any single scenario: the bear case in isolation returns 7.0%, below the 15.0% Benchmark. The 25% / 50% / 25% weighting is an analyst judgment and is documented as such.</w:t>
      </w:r>
    </w:p>
    <w:p>
      <w:pPr>
        <w:pStyle w:val="ListParagraph"/>
        <w:numPr>
          <w:ilvl w:val="0"/>
          <w:numId w:val="1"/>
        </w:numPr>
        <w:spacing w:after="110" w:line="256"/>
        <w:jc w:val="both"/>
      </w:pPr>
      <w:r>
        <w:rPr>
          <w:rFonts w:ascii="Arial" w:cs="Arial" w:eastAsia="Arial" w:hAnsi="Arial"/>
          <w:b/>
          <w:bCs/>
          <w:color w:val="2A2620"/>
          <w:sz w:val="21"/>
          <w:szCs w:val="21"/>
        </w:rPr>
        <w:t xml:space="preserve">Forecast dependence on margin recovery: </w:t>
      </w:r>
      <w:r>
        <w:rPr>
          <w:rFonts w:ascii="Arial" w:cs="Arial" w:eastAsia="Arial" w:hAnsi="Arial"/>
          <w:color w:val="2A2620"/>
          <w:sz w:val="21"/>
          <w:szCs w:val="21"/>
        </w:rPr>
        <w:t xml:space="preserve">The valuation assumes adjusted EBITDA margin recovers from 8.3% toward the FY2024A level (11.3%) by the terminal year, anchored to management's FY2026 guidance and Snoonu's full consolidated year. The recovery path is an assumption chain documented in the workbook, not a disclosed company plan.</w:t>
      </w:r>
    </w:p>
    <w:p>
      <w:pPr>
        <w:spacing w:after="0" w:before="220"/>
      </w:pPr>
    </w:p>
    <w:p>
      <w:pPr>
        <w:pStyle w:val="Heading1"/>
        <w:pBdr>
          <w:bottom w:val="single" w:color="B08D2A" w:sz="12"/>
        </w:pBdr>
        <w:shd w:fill="2A2620" w:color="auto" w:val="clear"/>
        <w:spacing w:after="240" w:before="90"/>
        <w:ind w:left="172"/>
      </w:pPr>
      <w:r>
        <w:rPr>
          <w:rFonts w:ascii="Georgia" w:cs="Georgia" w:eastAsia="Georgia" w:hAnsi="Georgia"/>
          <w:b/>
          <w:bCs/>
          <w:color w:val="F5F1E6"/>
          <w:sz w:val="28"/>
          <w:szCs w:val="28"/>
        </w:rPr>
        <w:t xml:space="preserve">Quantified Risk Assessment</w:t>
      </w:r>
    </w:p>
    <w:p>
      <w:pPr>
        <w:spacing w:after="160" w:line="264"/>
        <w:jc w:val="both"/>
      </w:pPr>
      <w:r>
        <w:rPr>
          <w:rFonts w:ascii="Arial" w:cs="Arial" w:eastAsia="Arial" w:hAnsi="Arial"/>
          <w:color w:val="2A2620"/>
          <w:sz w:val="21"/>
          <w:szCs w:val="21"/>
        </w:rPr>
        <w:t xml:space="preserve">The quantified risk register below scores each identified risk on a 1-5 probability x 1-5 impact basis, rolling up to a composite, peak-weighted score of 5.5 out of 10. The highest-scored risk is price-war margin compression from well-funded discounting, the dynamic visible in the ~300 bps FY2025A EBITDA-margin contraction and the SAR 9.2m Q1-2026A net loss, followed by the arrival of further well-capitalised entrants. Both are sector-wide pressures rather than company-specific execution failures, and both are reflected in the bear-case scenario (7.0% IRR, SAR 10.03 per share) rather than assumed away.</w:t>
      </w:r>
    </w:p>
    <w:tbl>
      <w:tblPr>
        <w:tblW w:type="pct" w:w="100%"/>
        <w:tblBorders>
          <w:top w:val="single" w:color="B7AF9C" w:sz="4"/>
          <w:left w:val="single" w:color="B7AF9C" w:sz="4"/>
          <w:bottom w:val="single" w:color="B7AF9C" w:sz="4"/>
          <w:right w:val="single" w:color="B7AF9C" w:sz="4"/>
          <w:insideH w:val="single" w:color="D8D2C4" w:sz="4"/>
          <w:insideV w:val="single" w:color="D8D2C4" w:sz="4"/>
        </w:tblBorders>
      </w:tblPr>
      <w:tblGrid>
        <w:gridCol w:w="100"/>
        <w:gridCol w:w="100"/>
        <w:gridCol w:w="100"/>
        <w:gridCol w:w="100"/>
        <w:gridCol w:w="100"/>
        <w:gridCol w:w="100"/>
      </w:tblGrid>
      <w:tr>
        <w:trPr>
          <w:tblHeader/>
        </w:trPr>
        <w:tc>
          <w:tcPr>
            <w:tcW w:type="pct" w:w="26%"/>
            <w:shd w:fill="2A2620" w:color="auto" w:val="clear"/>
            <w:tcMar>
              <w:top w:type="dxa" w:w="70"/>
              <w:left w:type="dxa" w:w="110"/>
              <w:bottom w:type="dxa" w:w="70"/>
              <w:right w:type="dxa" w:w="110"/>
            </w:tcMar>
            <w:vAlign w:val="center"/>
          </w:tcPr>
          <w:p>
            <w:pPr>
              <w:jc w:val="left"/>
            </w:pPr>
            <w:r>
              <w:rPr>
                <w:rFonts w:ascii="Arial" w:cs="Arial" w:eastAsia="Arial" w:hAnsi="Arial"/>
                <w:b/>
                <w:bCs/>
                <w:color w:val="F5F1E6"/>
                <w:sz w:val="19"/>
                <w:szCs w:val="19"/>
              </w:rPr>
              <w:t xml:space="preserve">Risk</w:t>
            </w:r>
          </w:p>
        </w:tc>
        <w:tc>
          <w:tcPr>
            <w:tcW w:type="pct" w:w="6%"/>
            <w:shd w:fill="2A2620" w:color="auto" w:val="clear"/>
            <w:tcMar>
              <w:top w:type="dxa" w:w="70"/>
              <w:left w:type="dxa" w:w="110"/>
              <w:bottom w:type="dxa" w:w="70"/>
              <w:right w:type="dxa" w:w="110"/>
            </w:tcMar>
            <w:vAlign w:val="center"/>
          </w:tcPr>
          <w:p>
            <w:pPr>
              <w:jc w:val="center"/>
            </w:pPr>
            <w:r>
              <w:rPr>
                <w:rFonts w:ascii="Arial" w:cs="Arial" w:eastAsia="Arial" w:hAnsi="Arial"/>
                <w:b/>
                <w:bCs/>
                <w:color w:val="F5F1E6"/>
                <w:sz w:val="19"/>
                <w:szCs w:val="19"/>
              </w:rPr>
              <w:t xml:space="preserve">P</w:t>
            </w:r>
          </w:p>
        </w:tc>
        <w:tc>
          <w:tcPr>
            <w:tcW w:type="pct" w:w="6%"/>
            <w:shd w:fill="2A2620" w:color="auto" w:val="clear"/>
            <w:tcMar>
              <w:top w:type="dxa" w:w="70"/>
              <w:left w:type="dxa" w:w="110"/>
              <w:bottom w:type="dxa" w:w="70"/>
              <w:right w:type="dxa" w:w="110"/>
            </w:tcMar>
            <w:vAlign w:val="center"/>
          </w:tcPr>
          <w:p>
            <w:pPr>
              <w:jc w:val="center"/>
            </w:pPr>
            <w:r>
              <w:rPr>
                <w:rFonts w:ascii="Arial" w:cs="Arial" w:eastAsia="Arial" w:hAnsi="Arial"/>
                <w:b/>
                <w:bCs/>
                <w:color w:val="F5F1E6"/>
                <w:sz w:val="19"/>
                <w:szCs w:val="19"/>
              </w:rPr>
              <w:t xml:space="preserve">I</w:t>
            </w:r>
          </w:p>
        </w:tc>
        <w:tc>
          <w:tcPr>
            <w:tcW w:type="pct" w:w="8%"/>
            <w:shd w:fill="2A2620" w:color="auto" w:val="clear"/>
            <w:tcMar>
              <w:top w:type="dxa" w:w="70"/>
              <w:left w:type="dxa" w:w="110"/>
              <w:bottom w:type="dxa" w:w="70"/>
              <w:right w:type="dxa" w:w="110"/>
            </w:tcMar>
            <w:vAlign w:val="center"/>
          </w:tcPr>
          <w:p>
            <w:pPr>
              <w:jc w:val="center"/>
            </w:pPr>
            <w:r>
              <w:rPr>
                <w:rFonts w:ascii="Arial" w:cs="Arial" w:eastAsia="Arial" w:hAnsi="Arial"/>
                <w:b/>
                <w:bCs/>
                <w:color w:val="F5F1E6"/>
                <w:sz w:val="19"/>
                <w:szCs w:val="19"/>
              </w:rPr>
              <w:t xml:space="preserve">Score</w:t>
            </w:r>
          </w:p>
        </w:tc>
        <w:tc>
          <w:tcPr>
            <w:tcW w:type="pct" w:w="34%"/>
            <w:shd w:fill="2A2620" w:color="auto" w:val="clear"/>
            <w:tcMar>
              <w:top w:type="dxa" w:w="70"/>
              <w:left w:type="dxa" w:w="110"/>
              <w:bottom w:type="dxa" w:w="70"/>
              <w:right w:type="dxa" w:w="110"/>
            </w:tcMar>
            <w:vAlign w:val="center"/>
          </w:tcPr>
          <w:p>
            <w:pPr>
              <w:jc w:val="center"/>
            </w:pPr>
            <w:r>
              <w:rPr>
                <w:rFonts w:ascii="Arial" w:cs="Arial" w:eastAsia="Arial" w:hAnsi="Arial"/>
                <w:b/>
                <w:bCs/>
                <w:color w:val="F5F1E6"/>
                <w:sz w:val="19"/>
                <w:szCs w:val="19"/>
              </w:rPr>
              <w:t xml:space="preserve">Mitigation</w:t>
            </w:r>
          </w:p>
        </w:tc>
        <w:tc>
          <w:tcPr>
            <w:tcW w:type="pct" w:w="20%"/>
            <w:shd w:fill="2A2620" w:color="auto" w:val="clear"/>
            <w:tcMar>
              <w:top w:type="dxa" w:w="70"/>
              <w:left w:type="dxa" w:w="110"/>
              <w:bottom w:type="dxa" w:w="70"/>
              <w:right w:type="dxa" w:w="110"/>
            </w:tcMar>
            <w:vAlign w:val="center"/>
          </w:tcPr>
          <w:p>
            <w:pPr>
              <w:jc w:val="center"/>
            </w:pPr>
            <w:r>
              <w:rPr>
                <w:rFonts w:ascii="Arial" w:cs="Arial" w:eastAsia="Arial" w:hAnsi="Arial"/>
                <w:b/>
                <w:bCs/>
                <w:color w:val="F5F1E6"/>
                <w:sz w:val="19"/>
                <w:szCs w:val="19"/>
              </w:rPr>
              <w:t xml:space="preserve">Cite</w:t>
            </w:r>
          </w:p>
        </w:tc>
      </w:tr>
      <w:tr>
        <w:tc>
          <w:tcPr>
            <w:tcW w:type="pct" w:w="26%"/>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Price-war margin compression (Keeta/Meituan-funded discounting)</w:t>
            </w:r>
          </w:p>
        </w:tc>
        <w:tc>
          <w:tcPr>
            <w:tcW w:type="pct" w:w="6%"/>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4</w:t>
            </w:r>
          </w:p>
        </w:tc>
        <w:tc>
          <w:tcPr>
            <w:tcW w:type="pct" w:w="6%"/>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4</w:t>
            </w:r>
          </w:p>
        </w:tc>
        <w:tc>
          <w:tcPr>
            <w:tcW w:type="pct" w:w="8%"/>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16</w:t>
            </w:r>
          </w:p>
        </w:tc>
        <w:tc>
          <w:tcPr>
            <w:tcW w:type="pct" w:w="34%"/>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Shift to cost discipline &amp; logistics mix; monitor take-rate and contribution margin per order</w:t>
            </w:r>
          </w:p>
        </w:tc>
        <w:tc>
          <w:tcPr>
            <w:tcW w:type="pct" w:w="20%"/>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industry-news-pack p.2, p.4</w:t>
            </w:r>
          </w:p>
        </w:tc>
      </w:tr>
      <w:tr>
        <w:tc>
          <w:tcPr>
            <w:tcW w:type="pct" w:w="26%"/>
            <w:shd w:fill="FBF9F4" w:color="auto" w:val="clear"/>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Well-capitalised new entrants (Rabbit, Ninja unicorn, Dingdong)</w:t>
            </w:r>
          </w:p>
        </w:tc>
        <w:tc>
          <w:tcPr>
            <w:tcW w:type="pct" w:w="6%"/>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4</w:t>
            </w:r>
          </w:p>
        </w:tc>
        <w:tc>
          <w:tcPr>
            <w:tcW w:type="pct" w:w="6%"/>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3</w:t>
            </w:r>
          </w:p>
        </w:tc>
        <w:tc>
          <w:tcPr>
            <w:tcW w:type="pct" w:w="8%"/>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12</w:t>
            </w:r>
          </w:p>
        </w:tc>
        <w:tc>
          <w:tcPr>
            <w:tcW w:type="pct" w:w="34%"/>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Scale &amp; fulfilment-density moat; Snoonu regional expansion</w:t>
            </w:r>
          </w:p>
        </w:tc>
        <w:tc>
          <w:tcPr>
            <w:tcW w:type="pct" w:w="20%"/>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industry-news-pack p.2</w:t>
            </w:r>
          </w:p>
        </w:tc>
      </w:tr>
      <w:tr>
        <w:tc>
          <w:tcPr>
            <w:tcW w:type="pct" w:w="26%"/>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Earnings volatility / one-offs (SAR 55m Q4-25; Q1-26 net loss)</w:t>
            </w:r>
          </w:p>
        </w:tc>
        <w:tc>
          <w:tcPr>
            <w:tcW w:type="pct" w:w="6%"/>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3</w:t>
            </w:r>
          </w:p>
        </w:tc>
        <w:tc>
          <w:tcPr>
            <w:tcW w:type="pct" w:w="6%"/>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3</w:t>
            </w:r>
          </w:p>
        </w:tc>
        <w:tc>
          <w:tcPr>
            <w:tcW w:type="pct" w:w="8%"/>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9</w:t>
            </w:r>
          </w:p>
        </w:tc>
        <w:tc>
          <w:tcPr>
            <w:tcW w:type="pct" w:w="34%"/>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One-offs largely non-recurring; H2-2026 profitability guidance</w:t>
            </w:r>
          </w:p>
        </w:tc>
        <w:tc>
          <w:tcPr>
            <w:tcW w:type="pct" w:w="20%"/>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industry-news-pack p.4; fy25-earnings-call p.6</w:t>
            </w:r>
          </w:p>
        </w:tc>
      </w:tr>
      <w:tr>
        <w:tc>
          <w:tcPr>
            <w:tcW w:type="pct" w:w="26%"/>
            <w:shd w:fill="FBF9F4" w:color="auto" w:val="clear"/>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Snoonu integration / near-term margin dilution</w:t>
            </w:r>
          </w:p>
        </w:tc>
        <w:tc>
          <w:tcPr>
            <w:tcW w:type="pct" w:w="6%"/>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3</w:t>
            </w:r>
          </w:p>
        </w:tc>
        <w:tc>
          <w:tcPr>
            <w:tcW w:type="pct" w:w="6%"/>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3</w:t>
            </w:r>
          </w:p>
        </w:tc>
        <w:tc>
          <w:tcPr>
            <w:tcW w:type="pct" w:w="8%"/>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9</w:t>
            </w:r>
          </w:p>
        </w:tc>
        <w:tc>
          <w:tcPr>
            <w:tcW w:type="pct" w:w="34%"/>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Snoonu FY25 adj. EBITDA +53.7m (profitable), accretive at scale</w:t>
            </w:r>
          </w:p>
        </w:tc>
        <w:tc>
          <w:tcPr>
            <w:tcW w:type="pct" w:w="20%"/>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fy25-er p.6</w:t>
            </w:r>
          </w:p>
        </w:tc>
      </w:tr>
      <w:tr>
        <w:tc>
          <w:tcPr>
            <w:tcW w:type="pct" w:w="26%"/>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Valuation-data ambiguity (203m vs 217m shares; 92.8x trailing P/E)</w:t>
            </w:r>
          </w:p>
        </w:tc>
        <w:tc>
          <w:tcPr>
            <w:tcW w:type="pct" w:w="6%"/>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2</w:t>
            </w:r>
          </w:p>
        </w:tc>
        <w:tc>
          <w:tcPr>
            <w:tcW w:type="pct" w:w="6%"/>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2</w:t>
            </w:r>
          </w:p>
        </w:tc>
        <w:tc>
          <w:tcPr>
            <w:tcW w:type="pct" w:w="8%"/>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4</w:t>
            </w:r>
          </w:p>
        </w:tc>
        <w:tc>
          <w:tcPr>
            <w:tcW w:type="pct" w:w="34%"/>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Reconcile Tadawul share register; use normalised/forward multiples</w:t>
            </w:r>
          </w:p>
        </w:tc>
        <w:tc>
          <w:tcPr>
            <w:tcW w:type="pct" w:w="20%"/>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market-data-comps p.2</w:t>
            </w:r>
          </w:p>
        </w:tc>
      </w:tr>
      <w:tr>
        <w:tc>
          <w:tcPr>
            <w:tcW w:type="pct" w:w="26%"/>
            <w:shd w:fill="FBF9F4" w:color="auto" w:val="clear"/>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WACC / terminal-value sensitivity (value ∝ WACC−g spread)</w:t>
            </w:r>
          </w:p>
        </w:tc>
        <w:tc>
          <w:tcPr>
            <w:tcW w:type="pct" w:w="6%"/>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3</w:t>
            </w:r>
          </w:p>
        </w:tc>
        <w:tc>
          <w:tcPr>
            <w:tcW w:type="pct" w:w="6%"/>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4</w:t>
            </w:r>
          </w:p>
        </w:tc>
        <w:tc>
          <w:tcPr>
            <w:tcW w:type="pct" w:w="8%"/>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12</w:t>
            </w:r>
          </w:p>
        </w:tc>
        <w:tc>
          <w:tcPr>
            <w:tcW w:type="pct" w:w="34%"/>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Sensitivity grid; conservative g=3.0%; bottom-up beta as next step</w:t>
            </w:r>
          </w:p>
        </w:tc>
        <w:tc>
          <w:tcPr>
            <w:tcW w:type="pct" w:w="20%"/>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Sensitivity tab; Assumptions</w:t>
            </w:r>
          </w:p>
        </w:tc>
      </w:tr>
    </w:tbl>
    <w:p>
      <w:pPr>
        <w:spacing w:after="200" w:before="40"/>
      </w:pPr>
      <w:r>
        <w:rPr>
          <w:rFonts w:ascii="Arial" w:cs="Arial" w:eastAsia="Arial" w:hAnsi="Arial"/>
          <w:i/>
          <w:iCs/>
          <w:color w:val="6B6455"/>
          <w:sz w:val="17"/>
          <w:szCs w:val="17"/>
        </w:rPr>
        <w:t xml:space="preserve">Composite risk score (peak-weighted, 0-10): 5.5.</w:t>
      </w:r>
    </w:p>
    <w:p>
      <w:pPr>
        <w:spacing w:after="0" w:before="220"/>
      </w:pPr>
    </w:p>
    <w:p>
      <w:pPr>
        <w:pStyle w:val="Heading1"/>
        <w:pBdr>
          <w:bottom w:val="single" w:color="B08D2A" w:sz="12"/>
        </w:pBdr>
        <w:shd w:fill="2A2620" w:color="auto" w:val="clear"/>
        <w:spacing w:after="240" w:before="90"/>
        <w:ind w:left="172"/>
      </w:pPr>
      <w:r>
        <w:rPr>
          <w:rFonts w:ascii="Georgia" w:cs="Georgia" w:eastAsia="Georgia" w:hAnsi="Georgia"/>
          <w:b/>
          <w:bCs/>
          <w:color w:val="F5F1E6"/>
          <w:sz w:val="28"/>
          <w:szCs w:val="28"/>
        </w:rPr>
        <w:t xml:space="preserve">Company and Market Overview</w:t>
      </w:r>
    </w:p>
    <w:p>
      <w:pPr>
        <w:pBdr>
          <w:bottom w:val="single" w:color="D8D2C4" w:sz="4"/>
        </w:pBdr>
        <w:spacing w:after="90" w:before="220"/>
      </w:pPr>
      <w:r>
        <w:rPr>
          <w:rFonts w:ascii="Arial" w:cs="Arial" w:eastAsia="Arial" w:hAnsi="Arial"/>
          <w:b/>
          <w:bCs/>
          <w:color w:val="514B40"/>
          <w:sz w:val="24"/>
          <w:szCs w:val="24"/>
        </w:rPr>
        <w:t xml:space="preserve">Company overview</w:t>
      </w:r>
    </w:p>
    <w:p>
      <w:pPr>
        <w:spacing w:after="160" w:line="264"/>
        <w:jc w:val="both"/>
      </w:pPr>
      <w:r>
        <w:rPr>
          <w:rFonts w:ascii="Arial" w:cs="Arial" w:eastAsia="Arial" w:hAnsi="Arial"/>
          <w:color w:val="2A2620"/>
          <w:sz w:val="21"/>
          <w:szCs w:val="21"/>
        </w:rPr>
        <w:t xml:space="preserve">Jahez operates a quick-commerce and food-delivery platform in Saudi Arabia, listed on the Tadawul Main Market (6017). The FY2025A revenue base spans the core KSA delivery platform (SAR 1,761.0m of net revenue, SAR 208.8m of adjusted EBITDA), a Logistics segment (SAR 428.8m), and Non-KSA and Others segments that remain sub-scale or loss-making. The Q4-2025 acquisition of Snoonu extends the group beyond single-vertical food delivery into broader last-mile logistics: Snoonu contributed SAR 2,360.0m of GMV (SAR 626.8m of Group GMV from an October consolidation start) with SAR 904.8m of gross revenue and SAR 53.7m of adjusted EBITDA.</w:t>
      </w:r>
    </w:p>
    <w:p>
      <w:pPr>
        <w:pBdr>
          <w:bottom w:val="single" w:color="D8D2C4" w:sz="4"/>
        </w:pBdr>
        <w:spacing w:after="90" w:before="220"/>
      </w:pPr>
      <w:r>
        <w:rPr>
          <w:rFonts w:ascii="Arial" w:cs="Arial" w:eastAsia="Arial" w:hAnsi="Arial"/>
          <w:b/>
          <w:bCs/>
          <w:color w:val="514B40"/>
          <w:sz w:val="24"/>
          <w:szCs w:val="24"/>
        </w:rPr>
        <w:t xml:space="preserve">Market and competitive landscape</w:t>
      </w:r>
    </w:p>
    <w:p>
      <w:pPr>
        <w:spacing w:after="160" w:line="264"/>
        <w:jc w:val="both"/>
      </w:pPr>
      <w:r>
        <w:rPr>
          <w:rFonts w:ascii="Arial" w:cs="Arial" w:eastAsia="Arial" w:hAnsi="Arial"/>
          <w:color w:val="2A2620"/>
          <w:sz w:val="21"/>
          <w:szCs w:val="21"/>
        </w:rPr>
        <w:t xml:space="preserve">The Saudi quick-commerce and food-delivery market is contested by HungerStation, the well-funded entrant Keeta, and a wave of further capitalised players, Rabbit, the Ninja unicorn, and Dingdong, competing primarily on delivery-fee discounting rather than product differentiation (Industry &amp; News Pack · Saudi Quick-Commerce, p.2). Group take rate rose to 15.4% in FY2025A from 14.6% in FY2024A even as GOV grew to SAR 9,259.6m: commission monetisation held through the discounting cycle, though the price war (Industry &amp; News Pack, p.4) remains the dominant near-term swing factor for sector margins. This memorandum does not assert a specific market-share position for any player absent a disclosed source.</w:t>
      </w:r>
    </w:p>
    <w:p>
      <w:pPr>
        <w:spacing w:after="0" w:before="220"/>
      </w:pPr>
    </w:p>
    <w:p>
      <w:pPr>
        <w:pStyle w:val="Heading1"/>
        <w:pBdr>
          <w:bottom w:val="single" w:color="B08D2A" w:sz="12"/>
        </w:pBdr>
        <w:shd w:fill="2A2620" w:color="auto" w:val="clear"/>
        <w:spacing w:after="240" w:before="90"/>
        <w:ind w:left="172"/>
      </w:pPr>
      <w:r>
        <w:rPr>
          <w:rFonts w:ascii="Georgia" w:cs="Georgia" w:eastAsia="Georgia" w:hAnsi="Georgia"/>
          <w:b/>
          <w:bCs/>
          <w:color w:val="F5F1E6"/>
          <w:sz w:val="28"/>
          <w:szCs w:val="28"/>
        </w:rPr>
        <w:t xml:space="preserve">Historical and Projected Financials</w:t>
      </w:r>
    </w:p>
    <w:p>
      <w:pPr>
        <w:spacing w:after="160" w:line="264"/>
        <w:jc w:val="both"/>
      </w:pPr>
      <w:r>
        <w:rPr>
          <w:rFonts w:ascii="Arial" w:cs="Arial" w:eastAsia="Arial" w:hAnsi="Arial"/>
          <w:color w:val="2A2620"/>
          <w:sz w:val="21"/>
          <w:szCs w:val="21"/>
        </w:rPr>
        <w:t xml:space="preserve">Orders grew from 84.8m (FY2023A) to 106.0m (FY2024A) to 111.6m (FY2025A), against average order values of SAR 60.10, SAR 61.70 and SAR 64.90; GMV compounded from SAR 5,100.0m to SAR 6,541.9m to SAR 7,245.2m. Take rate rose from 13.5% to 14.6% to 15.4%, lifting commission revenue to SAR 1,113.8m, while net revenue growth decelerated to +4.7% YoY: the gap between a rising take rate and slowing net-revenue growth is the price-war signature, a larger monetised share of a GMV base that is itself growing more slowly. Adjusted EBITDA moved from SAR 181.3m to SAR 250.0m to SAR 193.0m, and depreciation and amortisation grew from SAR 51.0m to SAR 89.4m, reflecting the expanding IFRS-16 right-of-use base.</w:t>
      </w:r>
    </w:p>
    <w:tbl>
      <w:tblPr>
        <w:tblW w:type="pct" w:w="100%"/>
        <w:tblBorders>
          <w:top w:val="single" w:color="B7AF9C" w:sz="4"/>
          <w:left w:val="single" w:color="B7AF9C" w:sz="4"/>
          <w:bottom w:val="single" w:color="B7AF9C" w:sz="4"/>
          <w:right w:val="single" w:color="B7AF9C" w:sz="4"/>
          <w:insideH w:val="single" w:color="D8D2C4" w:sz="4"/>
          <w:insideV w:val="single" w:color="D8D2C4" w:sz="4"/>
        </w:tblBorders>
      </w:tblPr>
      <w:tblGrid>
        <w:gridCol w:w="100"/>
        <w:gridCol w:w="100"/>
        <w:gridCol w:w="100"/>
        <w:gridCol w:w="100"/>
        <w:gridCol w:w="100"/>
        <w:gridCol w:w="100"/>
        <w:gridCol w:w="100"/>
        <w:gridCol w:w="100"/>
        <w:gridCol w:w="100"/>
      </w:tblGrid>
      <w:tr>
        <w:trPr>
          <w:tblHeader/>
        </w:trPr>
        <w:tc>
          <w:tcPr>
            <w:tcW w:type="pct" w:w="16.8%"/>
            <w:shd w:fill="2A2620" w:color="auto" w:val="clear"/>
            <w:tcMar>
              <w:top w:type="dxa" w:w="70"/>
              <w:left w:type="dxa" w:w="110"/>
              <w:bottom w:type="dxa" w:w="70"/>
              <w:right w:type="dxa" w:w="110"/>
            </w:tcMar>
            <w:vAlign w:val="center"/>
          </w:tcPr>
          <w:p>
            <w:pPr>
              <w:jc w:val="left"/>
            </w:pPr>
            <w:r>
              <w:rPr>
                <w:rFonts w:ascii="Arial" w:cs="Arial" w:eastAsia="Arial" w:hAnsi="Arial"/>
                <w:b/>
                <w:bCs/>
                <w:color w:val="F5F1E6"/>
                <w:sz w:val="16"/>
                <w:szCs w:val="16"/>
              </w:rPr>
              <w:t xml:space="preserve">SAR m unless noted</w:t>
            </w:r>
          </w:p>
        </w:tc>
        <w:tc>
          <w:tcPr>
            <w:tcW w:type="pct" w:w="10.4%"/>
            <w:shd w:fill="2A2620" w:color="auto" w:val="clear"/>
            <w:tcMar>
              <w:top w:type="dxa" w:w="70"/>
              <w:left w:type="dxa" w:w="110"/>
              <w:bottom w:type="dxa" w:w="70"/>
              <w:right w:type="dxa" w:w="110"/>
            </w:tcMar>
            <w:vAlign w:val="center"/>
          </w:tcPr>
          <w:p>
            <w:pPr>
              <w:jc w:val="center"/>
            </w:pPr>
            <w:r>
              <w:rPr>
                <w:rFonts w:ascii="Arial" w:cs="Arial" w:eastAsia="Arial" w:hAnsi="Arial"/>
                <w:b/>
                <w:bCs/>
                <w:color w:val="F5F1E6"/>
                <w:sz w:val="16"/>
                <w:szCs w:val="16"/>
              </w:rPr>
              <w:t xml:space="preserve">FY23A</w:t>
            </w:r>
          </w:p>
        </w:tc>
        <w:tc>
          <w:tcPr>
            <w:tcW w:type="pct" w:w="10.4%"/>
            <w:shd w:fill="2A2620" w:color="auto" w:val="clear"/>
            <w:tcMar>
              <w:top w:type="dxa" w:w="70"/>
              <w:left w:type="dxa" w:w="110"/>
              <w:bottom w:type="dxa" w:w="70"/>
              <w:right w:type="dxa" w:w="110"/>
            </w:tcMar>
            <w:vAlign w:val="center"/>
          </w:tcPr>
          <w:p>
            <w:pPr>
              <w:jc w:val="center"/>
            </w:pPr>
            <w:r>
              <w:rPr>
                <w:rFonts w:ascii="Arial" w:cs="Arial" w:eastAsia="Arial" w:hAnsi="Arial"/>
                <w:b/>
                <w:bCs/>
                <w:color w:val="F5F1E6"/>
                <w:sz w:val="16"/>
                <w:szCs w:val="16"/>
              </w:rPr>
              <w:t xml:space="preserve">FY24A</w:t>
            </w:r>
          </w:p>
        </w:tc>
        <w:tc>
          <w:tcPr>
            <w:tcW w:type="pct" w:w="10.4%"/>
            <w:shd w:fill="2A2620" w:color="auto" w:val="clear"/>
            <w:tcMar>
              <w:top w:type="dxa" w:w="70"/>
              <w:left w:type="dxa" w:w="110"/>
              <w:bottom w:type="dxa" w:w="70"/>
              <w:right w:type="dxa" w:w="110"/>
            </w:tcMar>
            <w:vAlign w:val="center"/>
          </w:tcPr>
          <w:p>
            <w:pPr>
              <w:jc w:val="center"/>
            </w:pPr>
            <w:r>
              <w:rPr>
                <w:rFonts w:ascii="Arial" w:cs="Arial" w:eastAsia="Arial" w:hAnsi="Arial"/>
                <w:b/>
                <w:bCs/>
                <w:color w:val="F5F1E6"/>
                <w:sz w:val="16"/>
                <w:szCs w:val="16"/>
              </w:rPr>
              <w:t xml:space="preserve">FY25A</w:t>
            </w:r>
          </w:p>
        </w:tc>
        <w:tc>
          <w:tcPr>
            <w:tcW w:type="pct" w:w="10.4%"/>
            <w:shd w:fill="2A2620" w:color="auto" w:val="clear"/>
            <w:tcMar>
              <w:top w:type="dxa" w:w="70"/>
              <w:left w:type="dxa" w:w="110"/>
              <w:bottom w:type="dxa" w:w="70"/>
              <w:right w:type="dxa" w:w="110"/>
            </w:tcMar>
            <w:vAlign w:val="center"/>
          </w:tcPr>
          <w:p>
            <w:pPr>
              <w:jc w:val="center"/>
            </w:pPr>
            <w:r>
              <w:rPr>
                <w:rFonts w:ascii="Arial" w:cs="Arial" w:eastAsia="Arial" w:hAnsi="Arial"/>
                <w:b/>
                <w:bCs/>
                <w:color w:val="F5F1E6"/>
                <w:sz w:val="16"/>
                <w:szCs w:val="16"/>
              </w:rPr>
              <w:t xml:space="preserve">FY26E</w:t>
            </w:r>
          </w:p>
        </w:tc>
        <w:tc>
          <w:tcPr>
            <w:tcW w:type="pct" w:w="10.4%"/>
            <w:shd w:fill="2A2620" w:color="auto" w:val="clear"/>
            <w:tcMar>
              <w:top w:type="dxa" w:w="70"/>
              <w:left w:type="dxa" w:w="110"/>
              <w:bottom w:type="dxa" w:w="70"/>
              <w:right w:type="dxa" w:w="110"/>
            </w:tcMar>
            <w:vAlign w:val="center"/>
          </w:tcPr>
          <w:p>
            <w:pPr>
              <w:jc w:val="center"/>
            </w:pPr>
            <w:r>
              <w:rPr>
                <w:rFonts w:ascii="Arial" w:cs="Arial" w:eastAsia="Arial" w:hAnsi="Arial"/>
                <w:b/>
                <w:bCs/>
                <w:color w:val="F5F1E6"/>
                <w:sz w:val="16"/>
                <w:szCs w:val="16"/>
              </w:rPr>
              <w:t xml:space="preserve">FY27E</w:t>
            </w:r>
          </w:p>
        </w:tc>
        <w:tc>
          <w:tcPr>
            <w:tcW w:type="pct" w:w="10.4%"/>
            <w:shd w:fill="2A2620" w:color="auto" w:val="clear"/>
            <w:tcMar>
              <w:top w:type="dxa" w:w="70"/>
              <w:left w:type="dxa" w:w="110"/>
              <w:bottom w:type="dxa" w:w="70"/>
              <w:right w:type="dxa" w:w="110"/>
            </w:tcMar>
            <w:vAlign w:val="center"/>
          </w:tcPr>
          <w:p>
            <w:pPr>
              <w:jc w:val="center"/>
            </w:pPr>
            <w:r>
              <w:rPr>
                <w:rFonts w:ascii="Arial" w:cs="Arial" w:eastAsia="Arial" w:hAnsi="Arial"/>
                <w:b/>
                <w:bCs/>
                <w:color w:val="F5F1E6"/>
                <w:sz w:val="16"/>
                <w:szCs w:val="16"/>
              </w:rPr>
              <w:t xml:space="preserve">FY28E</w:t>
            </w:r>
          </w:p>
        </w:tc>
        <w:tc>
          <w:tcPr>
            <w:tcW w:type="pct" w:w="10.4%"/>
            <w:shd w:fill="2A2620" w:color="auto" w:val="clear"/>
            <w:tcMar>
              <w:top w:type="dxa" w:w="70"/>
              <w:left w:type="dxa" w:w="110"/>
              <w:bottom w:type="dxa" w:w="70"/>
              <w:right w:type="dxa" w:w="110"/>
            </w:tcMar>
            <w:vAlign w:val="center"/>
          </w:tcPr>
          <w:p>
            <w:pPr>
              <w:jc w:val="center"/>
            </w:pPr>
            <w:r>
              <w:rPr>
                <w:rFonts w:ascii="Arial" w:cs="Arial" w:eastAsia="Arial" w:hAnsi="Arial"/>
                <w:b/>
                <w:bCs/>
                <w:color w:val="F5F1E6"/>
                <w:sz w:val="16"/>
                <w:szCs w:val="16"/>
              </w:rPr>
              <w:t xml:space="preserve">FY29E</w:t>
            </w:r>
          </w:p>
        </w:tc>
        <w:tc>
          <w:tcPr>
            <w:tcW w:type="pct" w:w="10.4%"/>
            <w:shd w:fill="2A2620" w:color="auto" w:val="clear"/>
            <w:tcMar>
              <w:top w:type="dxa" w:w="70"/>
              <w:left w:type="dxa" w:w="110"/>
              <w:bottom w:type="dxa" w:w="70"/>
              <w:right w:type="dxa" w:w="110"/>
            </w:tcMar>
            <w:vAlign w:val="center"/>
          </w:tcPr>
          <w:p>
            <w:pPr>
              <w:jc w:val="center"/>
            </w:pPr>
            <w:r>
              <w:rPr>
                <w:rFonts w:ascii="Arial" w:cs="Arial" w:eastAsia="Arial" w:hAnsi="Arial"/>
                <w:b/>
                <w:bCs/>
                <w:color w:val="F5F1E6"/>
                <w:sz w:val="16"/>
                <w:szCs w:val="16"/>
              </w:rPr>
              <w:t xml:space="preserve">FY30E</w:t>
            </w:r>
          </w:p>
        </w:tc>
      </w:tr>
      <w:tr>
        <w:tc>
          <w:tcPr>
            <w:tcW w:type="pct" w:w="16.8%"/>
            <w:tcMar>
              <w:top w:type="dxa" w:w="70"/>
              <w:left w:type="dxa" w:w="110"/>
              <w:bottom w:type="dxa" w:w="70"/>
              <w:right w:type="dxa" w:w="110"/>
            </w:tcMar>
            <w:vAlign w:val="center"/>
          </w:tcPr>
          <w:p>
            <w:pPr>
              <w:jc w:val="left"/>
            </w:pPr>
            <w:r>
              <w:rPr>
                <w:rFonts w:ascii="Arial" w:cs="Arial" w:eastAsia="Arial" w:hAnsi="Arial"/>
                <w:b w:val="false"/>
                <w:bCs w:val="false"/>
                <w:color w:val="2A2620"/>
                <w:sz w:val="16"/>
                <w:szCs w:val="16"/>
              </w:rPr>
              <w:t xml:space="preserve">Orders (m)</w:t>
            </w:r>
          </w:p>
        </w:tc>
        <w:tc>
          <w:tcPr>
            <w:tcW w:type="pct" w:w="10.4%"/>
            <w:tcMar>
              <w:top w:type="dxa" w:w="70"/>
              <w:left w:type="dxa" w:w="110"/>
              <w:bottom w:type="dxa" w:w="70"/>
              <w:right w:type="dxa" w:w="110"/>
            </w:tcMar>
            <w:vAlign w:val="center"/>
          </w:tcPr>
          <w:p>
            <w:pPr>
              <w:jc w:val="center"/>
            </w:pPr>
            <w:r>
              <w:rPr>
                <w:rFonts w:ascii="Arial" w:cs="Arial" w:eastAsia="Arial" w:hAnsi="Arial"/>
                <w:b w:val="false"/>
                <w:bCs w:val="false"/>
                <w:color w:val="2A2620"/>
                <w:sz w:val="16"/>
                <w:szCs w:val="16"/>
              </w:rPr>
              <w:t xml:space="preserve">84.8</w:t>
            </w:r>
          </w:p>
        </w:tc>
        <w:tc>
          <w:tcPr>
            <w:tcW w:type="pct" w:w="10.4%"/>
            <w:tcMar>
              <w:top w:type="dxa" w:w="70"/>
              <w:left w:type="dxa" w:w="110"/>
              <w:bottom w:type="dxa" w:w="70"/>
              <w:right w:type="dxa" w:w="110"/>
            </w:tcMar>
            <w:vAlign w:val="center"/>
          </w:tcPr>
          <w:p>
            <w:pPr>
              <w:jc w:val="center"/>
            </w:pPr>
            <w:r>
              <w:rPr>
                <w:rFonts w:ascii="Arial" w:cs="Arial" w:eastAsia="Arial" w:hAnsi="Arial"/>
                <w:b w:val="false"/>
                <w:bCs w:val="false"/>
                <w:color w:val="2A2620"/>
                <w:sz w:val="16"/>
                <w:szCs w:val="16"/>
              </w:rPr>
              <w:t xml:space="preserve">106.0</w:t>
            </w:r>
          </w:p>
        </w:tc>
        <w:tc>
          <w:tcPr>
            <w:tcW w:type="pct" w:w="10.4%"/>
            <w:tcMar>
              <w:top w:type="dxa" w:w="70"/>
              <w:left w:type="dxa" w:w="110"/>
              <w:bottom w:type="dxa" w:w="70"/>
              <w:right w:type="dxa" w:w="110"/>
            </w:tcMar>
            <w:vAlign w:val="center"/>
          </w:tcPr>
          <w:p>
            <w:pPr>
              <w:jc w:val="center"/>
            </w:pPr>
            <w:r>
              <w:rPr>
                <w:rFonts w:ascii="Arial" w:cs="Arial" w:eastAsia="Arial" w:hAnsi="Arial"/>
                <w:b w:val="false"/>
                <w:bCs w:val="false"/>
                <w:color w:val="2A2620"/>
                <w:sz w:val="16"/>
                <w:szCs w:val="16"/>
              </w:rPr>
              <w:t xml:space="preserve">111.6</w:t>
            </w:r>
          </w:p>
        </w:tc>
        <w:tc>
          <w:tcPr>
            <w:tcW w:type="pct" w:w="10.4%"/>
            <w:tcMar>
              <w:top w:type="dxa" w:w="70"/>
              <w:left w:type="dxa" w:w="110"/>
              <w:bottom w:type="dxa" w:w="70"/>
              <w:right w:type="dxa" w:w="110"/>
            </w:tcMar>
            <w:vAlign w:val="center"/>
          </w:tcPr>
          <w:p>
            <w:pPr>
              <w:jc w:val="center"/>
            </w:pPr>
            <w:r>
              <w:rPr>
                <w:rFonts w:ascii="Arial" w:cs="Arial" w:eastAsia="Arial" w:hAnsi="Arial"/>
                <w:b w:val="false"/>
                <w:bCs w:val="false"/>
                <w:color w:val="2A2620"/>
                <w:sz w:val="16"/>
                <w:szCs w:val="16"/>
              </w:rPr>
              <w:t xml:space="preserve">131.7</w:t>
            </w:r>
          </w:p>
        </w:tc>
        <w:tc>
          <w:tcPr>
            <w:tcW w:type="pct" w:w="10.4%"/>
            <w:tcMar>
              <w:top w:type="dxa" w:w="70"/>
              <w:left w:type="dxa" w:w="110"/>
              <w:bottom w:type="dxa" w:w="70"/>
              <w:right w:type="dxa" w:w="110"/>
            </w:tcMar>
            <w:vAlign w:val="center"/>
          </w:tcPr>
          <w:p>
            <w:pPr>
              <w:jc w:val="center"/>
            </w:pPr>
            <w:r>
              <w:rPr>
                <w:rFonts w:ascii="Arial" w:cs="Arial" w:eastAsia="Arial" w:hAnsi="Arial"/>
                <w:b w:val="false"/>
                <w:bCs w:val="false"/>
                <w:color w:val="2A2620"/>
                <w:sz w:val="16"/>
                <w:szCs w:val="16"/>
              </w:rPr>
              <w:t xml:space="preserve">147.5</w:t>
            </w:r>
          </w:p>
        </w:tc>
        <w:tc>
          <w:tcPr>
            <w:tcW w:type="pct" w:w="10.4%"/>
            <w:tcMar>
              <w:top w:type="dxa" w:w="70"/>
              <w:left w:type="dxa" w:w="110"/>
              <w:bottom w:type="dxa" w:w="70"/>
              <w:right w:type="dxa" w:w="110"/>
            </w:tcMar>
            <w:vAlign w:val="center"/>
          </w:tcPr>
          <w:p>
            <w:pPr>
              <w:jc w:val="center"/>
            </w:pPr>
            <w:r>
              <w:rPr>
                <w:rFonts w:ascii="Arial" w:cs="Arial" w:eastAsia="Arial" w:hAnsi="Arial"/>
                <w:b w:val="false"/>
                <w:bCs w:val="false"/>
                <w:color w:val="2A2620"/>
                <w:sz w:val="16"/>
                <w:szCs w:val="16"/>
              </w:rPr>
              <w:t xml:space="preserve">160.8</w:t>
            </w:r>
          </w:p>
        </w:tc>
        <w:tc>
          <w:tcPr>
            <w:tcW w:type="pct" w:w="10.4%"/>
            <w:tcMar>
              <w:top w:type="dxa" w:w="70"/>
              <w:left w:type="dxa" w:w="110"/>
              <w:bottom w:type="dxa" w:w="70"/>
              <w:right w:type="dxa" w:w="110"/>
            </w:tcMar>
            <w:vAlign w:val="center"/>
          </w:tcPr>
          <w:p>
            <w:pPr>
              <w:jc w:val="center"/>
            </w:pPr>
            <w:r>
              <w:rPr>
                <w:rFonts w:ascii="Arial" w:cs="Arial" w:eastAsia="Arial" w:hAnsi="Arial"/>
                <w:b w:val="false"/>
                <w:bCs w:val="false"/>
                <w:color w:val="2A2620"/>
                <w:sz w:val="16"/>
                <w:szCs w:val="16"/>
              </w:rPr>
              <w:t xml:space="preserve">172.0</w:t>
            </w:r>
          </w:p>
        </w:tc>
        <w:tc>
          <w:tcPr>
            <w:tcW w:type="pct" w:w="10.4%"/>
            <w:tcMar>
              <w:top w:type="dxa" w:w="70"/>
              <w:left w:type="dxa" w:w="110"/>
              <w:bottom w:type="dxa" w:w="70"/>
              <w:right w:type="dxa" w:w="110"/>
            </w:tcMar>
            <w:vAlign w:val="center"/>
          </w:tcPr>
          <w:p>
            <w:pPr>
              <w:jc w:val="center"/>
            </w:pPr>
            <w:r>
              <w:rPr>
                <w:rFonts w:ascii="Arial" w:cs="Arial" w:eastAsia="Arial" w:hAnsi="Arial"/>
                <w:b w:val="false"/>
                <w:bCs w:val="false"/>
                <w:color w:val="2A2620"/>
                <w:sz w:val="16"/>
                <w:szCs w:val="16"/>
              </w:rPr>
              <w:t xml:space="preserve">182.3</w:t>
            </w:r>
          </w:p>
        </w:tc>
      </w:tr>
      <w:tr>
        <w:tc>
          <w:tcPr>
            <w:tcW w:type="pct" w:w="16.8%"/>
            <w:shd w:fill="FBF9F4" w:color="auto" w:val="clear"/>
            <w:tcMar>
              <w:top w:type="dxa" w:w="70"/>
              <w:left w:type="dxa" w:w="110"/>
              <w:bottom w:type="dxa" w:w="70"/>
              <w:right w:type="dxa" w:w="110"/>
            </w:tcMar>
            <w:vAlign w:val="center"/>
          </w:tcPr>
          <w:p>
            <w:pPr>
              <w:jc w:val="left"/>
            </w:pPr>
            <w:r>
              <w:rPr>
                <w:rFonts w:ascii="Arial" w:cs="Arial" w:eastAsia="Arial" w:hAnsi="Arial"/>
                <w:b w:val="false"/>
                <w:bCs w:val="false"/>
                <w:color w:val="2A2620"/>
                <w:sz w:val="16"/>
                <w:szCs w:val="16"/>
              </w:rPr>
              <w:t xml:space="preserve">Avg. order value (SAR)</w:t>
            </w:r>
          </w:p>
        </w:tc>
        <w:tc>
          <w:tcPr>
            <w:tcW w:type="pct" w:w="10.4%"/>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6"/>
                <w:szCs w:val="16"/>
              </w:rPr>
              <w:t xml:space="preserve">60.10</w:t>
            </w:r>
          </w:p>
        </w:tc>
        <w:tc>
          <w:tcPr>
            <w:tcW w:type="pct" w:w="10.4%"/>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6"/>
                <w:szCs w:val="16"/>
              </w:rPr>
              <w:t xml:space="preserve">61.70</w:t>
            </w:r>
          </w:p>
        </w:tc>
        <w:tc>
          <w:tcPr>
            <w:tcW w:type="pct" w:w="10.4%"/>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6"/>
                <w:szCs w:val="16"/>
              </w:rPr>
              <w:t xml:space="preserve">64.90</w:t>
            </w:r>
          </w:p>
        </w:tc>
        <w:tc>
          <w:tcPr>
            <w:tcW w:type="pct" w:w="10.4%"/>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6"/>
                <w:szCs w:val="16"/>
              </w:rPr>
              <w:t xml:space="preserve">68.79</w:t>
            </w:r>
          </w:p>
        </w:tc>
        <w:tc>
          <w:tcPr>
            <w:tcW w:type="pct" w:w="10.4%"/>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6"/>
                <w:szCs w:val="16"/>
              </w:rPr>
              <w:t xml:space="preserve">71.55</w:t>
            </w:r>
          </w:p>
        </w:tc>
        <w:tc>
          <w:tcPr>
            <w:tcW w:type="pct" w:w="10.4%"/>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6"/>
                <w:szCs w:val="16"/>
              </w:rPr>
              <w:t xml:space="preserve">73.69</w:t>
            </w:r>
          </w:p>
        </w:tc>
        <w:tc>
          <w:tcPr>
            <w:tcW w:type="pct" w:w="10.4%"/>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6"/>
                <w:szCs w:val="16"/>
              </w:rPr>
              <w:t xml:space="preserve">75.90</w:t>
            </w:r>
          </w:p>
        </w:tc>
        <w:tc>
          <w:tcPr>
            <w:tcW w:type="pct" w:w="10.4%"/>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6"/>
                <w:szCs w:val="16"/>
              </w:rPr>
              <w:t xml:space="preserve">78.18</w:t>
            </w:r>
          </w:p>
        </w:tc>
      </w:tr>
      <w:tr>
        <w:tc>
          <w:tcPr>
            <w:tcW w:type="pct" w:w="16.8%"/>
            <w:tcMar>
              <w:top w:type="dxa" w:w="70"/>
              <w:left w:type="dxa" w:w="110"/>
              <w:bottom w:type="dxa" w:w="70"/>
              <w:right w:type="dxa" w:w="110"/>
            </w:tcMar>
            <w:vAlign w:val="center"/>
          </w:tcPr>
          <w:p>
            <w:pPr>
              <w:jc w:val="left"/>
            </w:pPr>
            <w:r>
              <w:rPr>
                <w:rFonts w:ascii="Arial" w:cs="Arial" w:eastAsia="Arial" w:hAnsi="Arial"/>
                <w:b w:val="false"/>
                <w:bCs w:val="false"/>
                <w:color w:val="2A2620"/>
                <w:sz w:val="16"/>
                <w:szCs w:val="16"/>
              </w:rPr>
              <w:t xml:space="preserve">GMV</w:t>
            </w:r>
          </w:p>
        </w:tc>
        <w:tc>
          <w:tcPr>
            <w:tcW w:type="pct" w:w="10.4%"/>
            <w:tcMar>
              <w:top w:type="dxa" w:w="70"/>
              <w:left w:type="dxa" w:w="110"/>
              <w:bottom w:type="dxa" w:w="70"/>
              <w:right w:type="dxa" w:w="110"/>
            </w:tcMar>
            <w:vAlign w:val="center"/>
          </w:tcPr>
          <w:p>
            <w:pPr>
              <w:jc w:val="center"/>
            </w:pPr>
            <w:r>
              <w:rPr>
                <w:rFonts w:ascii="Arial" w:cs="Arial" w:eastAsia="Arial" w:hAnsi="Arial"/>
                <w:b w:val="false"/>
                <w:bCs w:val="false"/>
                <w:color w:val="2A2620"/>
                <w:sz w:val="16"/>
                <w:szCs w:val="16"/>
              </w:rPr>
              <w:t xml:space="preserve">5,100</w:t>
            </w:r>
          </w:p>
        </w:tc>
        <w:tc>
          <w:tcPr>
            <w:tcW w:type="pct" w:w="10.4%"/>
            <w:tcMar>
              <w:top w:type="dxa" w:w="70"/>
              <w:left w:type="dxa" w:w="110"/>
              <w:bottom w:type="dxa" w:w="70"/>
              <w:right w:type="dxa" w:w="110"/>
            </w:tcMar>
            <w:vAlign w:val="center"/>
          </w:tcPr>
          <w:p>
            <w:pPr>
              <w:jc w:val="center"/>
            </w:pPr>
            <w:r>
              <w:rPr>
                <w:rFonts w:ascii="Arial" w:cs="Arial" w:eastAsia="Arial" w:hAnsi="Arial"/>
                <w:b w:val="false"/>
                <w:bCs w:val="false"/>
                <w:color w:val="2A2620"/>
                <w:sz w:val="16"/>
                <w:szCs w:val="16"/>
              </w:rPr>
              <w:t xml:space="preserve">6,542</w:t>
            </w:r>
          </w:p>
        </w:tc>
        <w:tc>
          <w:tcPr>
            <w:tcW w:type="pct" w:w="10.4%"/>
            <w:tcMar>
              <w:top w:type="dxa" w:w="70"/>
              <w:left w:type="dxa" w:w="110"/>
              <w:bottom w:type="dxa" w:w="70"/>
              <w:right w:type="dxa" w:w="110"/>
            </w:tcMar>
            <w:vAlign w:val="center"/>
          </w:tcPr>
          <w:p>
            <w:pPr>
              <w:jc w:val="center"/>
            </w:pPr>
            <w:r>
              <w:rPr>
                <w:rFonts w:ascii="Arial" w:cs="Arial" w:eastAsia="Arial" w:hAnsi="Arial"/>
                <w:b w:val="false"/>
                <w:bCs w:val="false"/>
                <w:color w:val="2A2620"/>
                <w:sz w:val="16"/>
                <w:szCs w:val="16"/>
              </w:rPr>
              <w:t xml:space="preserve">7,245</w:t>
            </w:r>
          </w:p>
        </w:tc>
        <w:tc>
          <w:tcPr>
            <w:tcW w:type="pct" w:w="10.4%"/>
            <w:tcMar>
              <w:top w:type="dxa" w:w="70"/>
              <w:left w:type="dxa" w:w="110"/>
              <w:bottom w:type="dxa" w:w="70"/>
              <w:right w:type="dxa" w:w="110"/>
            </w:tcMar>
            <w:vAlign w:val="center"/>
          </w:tcPr>
          <w:p>
            <w:pPr>
              <w:jc w:val="center"/>
            </w:pPr>
            <w:r>
              <w:rPr>
                <w:rFonts w:ascii="Arial" w:cs="Arial" w:eastAsia="Arial" w:hAnsi="Arial"/>
                <w:b w:val="false"/>
                <w:bCs w:val="false"/>
                <w:color w:val="2A2620"/>
                <w:sz w:val="16"/>
                <w:szCs w:val="16"/>
              </w:rPr>
              <w:t xml:space="preserve">9,059</w:t>
            </w:r>
          </w:p>
        </w:tc>
        <w:tc>
          <w:tcPr>
            <w:tcW w:type="pct" w:w="10.4%"/>
            <w:tcMar>
              <w:top w:type="dxa" w:w="70"/>
              <w:left w:type="dxa" w:w="110"/>
              <w:bottom w:type="dxa" w:w="70"/>
              <w:right w:type="dxa" w:w="110"/>
            </w:tcMar>
            <w:vAlign w:val="center"/>
          </w:tcPr>
          <w:p>
            <w:pPr>
              <w:jc w:val="center"/>
            </w:pPr>
            <w:r>
              <w:rPr>
                <w:rFonts w:ascii="Arial" w:cs="Arial" w:eastAsia="Arial" w:hAnsi="Arial"/>
                <w:b w:val="false"/>
                <w:bCs w:val="false"/>
                <w:color w:val="2A2620"/>
                <w:sz w:val="16"/>
                <w:szCs w:val="16"/>
              </w:rPr>
              <w:t xml:space="preserve">10,552</w:t>
            </w:r>
          </w:p>
        </w:tc>
        <w:tc>
          <w:tcPr>
            <w:tcW w:type="pct" w:w="10.4%"/>
            <w:tcMar>
              <w:top w:type="dxa" w:w="70"/>
              <w:left w:type="dxa" w:w="110"/>
              <w:bottom w:type="dxa" w:w="70"/>
              <w:right w:type="dxa" w:w="110"/>
            </w:tcMar>
            <w:vAlign w:val="center"/>
          </w:tcPr>
          <w:p>
            <w:pPr>
              <w:jc w:val="center"/>
            </w:pPr>
            <w:r>
              <w:rPr>
                <w:rFonts w:ascii="Arial" w:cs="Arial" w:eastAsia="Arial" w:hAnsi="Arial"/>
                <w:b w:val="false"/>
                <w:bCs w:val="false"/>
                <w:color w:val="2A2620"/>
                <w:sz w:val="16"/>
                <w:szCs w:val="16"/>
              </w:rPr>
              <w:t xml:space="preserve">11,847</w:t>
            </w:r>
          </w:p>
        </w:tc>
        <w:tc>
          <w:tcPr>
            <w:tcW w:type="pct" w:w="10.4%"/>
            <w:tcMar>
              <w:top w:type="dxa" w:w="70"/>
              <w:left w:type="dxa" w:w="110"/>
              <w:bottom w:type="dxa" w:w="70"/>
              <w:right w:type="dxa" w:w="110"/>
            </w:tcMar>
            <w:vAlign w:val="center"/>
          </w:tcPr>
          <w:p>
            <w:pPr>
              <w:jc w:val="center"/>
            </w:pPr>
            <w:r>
              <w:rPr>
                <w:rFonts w:ascii="Arial" w:cs="Arial" w:eastAsia="Arial" w:hAnsi="Arial"/>
                <w:b w:val="false"/>
                <w:bCs w:val="false"/>
                <w:color w:val="2A2620"/>
                <w:sz w:val="16"/>
                <w:szCs w:val="16"/>
              </w:rPr>
              <w:t xml:space="preserve">13,057</w:t>
            </w:r>
          </w:p>
        </w:tc>
        <w:tc>
          <w:tcPr>
            <w:tcW w:type="pct" w:w="10.4%"/>
            <w:tcMar>
              <w:top w:type="dxa" w:w="70"/>
              <w:left w:type="dxa" w:w="110"/>
              <w:bottom w:type="dxa" w:w="70"/>
              <w:right w:type="dxa" w:w="110"/>
            </w:tcMar>
            <w:vAlign w:val="center"/>
          </w:tcPr>
          <w:p>
            <w:pPr>
              <w:jc w:val="center"/>
            </w:pPr>
            <w:r>
              <w:rPr>
                <w:rFonts w:ascii="Arial" w:cs="Arial" w:eastAsia="Arial" w:hAnsi="Arial"/>
                <w:b w:val="false"/>
                <w:bCs w:val="false"/>
                <w:color w:val="2A2620"/>
                <w:sz w:val="16"/>
                <w:szCs w:val="16"/>
              </w:rPr>
              <w:t xml:space="preserve">14,255</w:t>
            </w:r>
          </w:p>
        </w:tc>
      </w:tr>
      <w:tr>
        <w:tc>
          <w:tcPr>
            <w:tcW w:type="pct" w:w="16.8%"/>
            <w:shd w:fill="FBF9F4" w:color="auto" w:val="clear"/>
            <w:tcMar>
              <w:top w:type="dxa" w:w="70"/>
              <w:left w:type="dxa" w:w="110"/>
              <w:bottom w:type="dxa" w:w="70"/>
              <w:right w:type="dxa" w:w="110"/>
            </w:tcMar>
            <w:vAlign w:val="center"/>
          </w:tcPr>
          <w:p>
            <w:pPr>
              <w:jc w:val="left"/>
            </w:pPr>
            <w:r>
              <w:rPr>
                <w:rFonts w:ascii="Arial" w:cs="Arial" w:eastAsia="Arial" w:hAnsi="Arial"/>
                <w:b w:val="false"/>
                <w:bCs w:val="false"/>
                <w:color w:val="2A2620"/>
                <w:sz w:val="16"/>
                <w:szCs w:val="16"/>
              </w:rPr>
              <w:t xml:space="preserve">Net revenue</w:t>
            </w:r>
          </w:p>
        </w:tc>
        <w:tc>
          <w:tcPr>
            <w:tcW w:type="pct" w:w="10.4%"/>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6"/>
                <w:szCs w:val="16"/>
              </w:rPr>
              <w:t xml:space="preserve">1,785</w:t>
            </w:r>
          </w:p>
        </w:tc>
        <w:tc>
          <w:tcPr>
            <w:tcW w:type="pct" w:w="10.4%"/>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6"/>
                <w:szCs w:val="16"/>
              </w:rPr>
              <w:t xml:space="preserve">2,219</w:t>
            </w:r>
          </w:p>
        </w:tc>
        <w:tc>
          <w:tcPr>
            <w:tcW w:type="pct" w:w="10.4%"/>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6"/>
                <w:szCs w:val="16"/>
              </w:rPr>
              <w:t xml:space="preserve">2,324</w:t>
            </w:r>
          </w:p>
        </w:tc>
        <w:tc>
          <w:tcPr>
            <w:tcW w:type="pct" w:w="10.4%"/>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6"/>
                <w:szCs w:val="16"/>
              </w:rPr>
              <w:t xml:space="preserve">2,808</w:t>
            </w:r>
          </w:p>
        </w:tc>
        <w:tc>
          <w:tcPr>
            <w:tcW w:type="pct" w:w="10.4%"/>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6"/>
                <w:szCs w:val="16"/>
              </w:rPr>
              <w:t xml:space="preserve">3,218</w:t>
            </w:r>
          </w:p>
        </w:tc>
        <w:tc>
          <w:tcPr>
            <w:tcW w:type="pct" w:w="10.4%"/>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6"/>
                <w:szCs w:val="16"/>
              </w:rPr>
              <w:t xml:space="preserve">3,613</w:t>
            </w:r>
          </w:p>
        </w:tc>
        <w:tc>
          <w:tcPr>
            <w:tcW w:type="pct" w:w="10.4%"/>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6"/>
                <w:szCs w:val="16"/>
              </w:rPr>
              <w:t xml:space="preserve">3,982</w:t>
            </w:r>
          </w:p>
        </w:tc>
        <w:tc>
          <w:tcPr>
            <w:tcW w:type="pct" w:w="10.4%"/>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6"/>
                <w:szCs w:val="16"/>
              </w:rPr>
              <w:t xml:space="preserve">4,348</w:t>
            </w:r>
          </w:p>
        </w:tc>
      </w:tr>
      <w:tr>
        <w:tc>
          <w:tcPr>
            <w:tcW w:type="pct" w:w="16.8%"/>
            <w:tcMar>
              <w:top w:type="dxa" w:w="70"/>
              <w:left w:type="dxa" w:w="110"/>
              <w:bottom w:type="dxa" w:w="70"/>
              <w:right w:type="dxa" w:w="110"/>
            </w:tcMar>
            <w:vAlign w:val="center"/>
          </w:tcPr>
          <w:p>
            <w:pPr>
              <w:jc w:val="left"/>
            </w:pPr>
            <w:r>
              <w:rPr>
                <w:rFonts w:ascii="Arial" w:cs="Arial" w:eastAsia="Arial" w:hAnsi="Arial"/>
                <w:b w:val="false"/>
                <w:bCs w:val="false"/>
                <w:color w:val="2A2620"/>
                <w:sz w:val="16"/>
                <w:szCs w:val="16"/>
              </w:rPr>
              <w:t xml:space="preserve">Take rate</w:t>
            </w:r>
          </w:p>
        </w:tc>
        <w:tc>
          <w:tcPr>
            <w:tcW w:type="pct" w:w="10.4%"/>
            <w:tcMar>
              <w:top w:type="dxa" w:w="70"/>
              <w:left w:type="dxa" w:w="110"/>
              <w:bottom w:type="dxa" w:w="70"/>
              <w:right w:type="dxa" w:w="110"/>
            </w:tcMar>
            <w:vAlign w:val="center"/>
          </w:tcPr>
          <w:p>
            <w:pPr>
              <w:jc w:val="center"/>
            </w:pPr>
            <w:r>
              <w:rPr>
                <w:rFonts w:ascii="Arial" w:cs="Arial" w:eastAsia="Arial" w:hAnsi="Arial"/>
                <w:b w:val="false"/>
                <w:bCs w:val="false"/>
                <w:color w:val="2A2620"/>
                <w:sz w:val="16"/>
                <w:szCs w:val="16"/>
              </w:rPr>
              <w:t xml:space="preserve">13.5%</w:t>
            </w:r>
          </w:p>
        </w:tc>
        <w:tc>
          <w:tcPr>
            <w:tcW w:type="pct" w:w="10.4%"/>
            <w:tcMar>
              <w:top w:type="dxa" w:w="70"/>
              <w:left w:type="dxa" w:w="110"/>
              <w:bottom w:type="dxa" w:w="70"/>
              <w:right w:type="dxa" w:w="110"/>
            </w:tcMar>
            <w:vAlign w:val="center"/>
          </w:tcPr>
          <w:p>
            <w:pPr>
              <w:jc w:val="center"/>
            </w:pPr>
            <w:r>
              <w:rPr>
                <w:rFonts w:ascii="Arial" w:cs="Arial" w:eastAsia="Arial" w:hAnsi="Arial"/>
                <w:b w:val="false"/>
                <w:bCs w:val="false"/>
                <w:color w:val="2A2620"/>
                <w:sz w:val="16"/>
                <w:szCs w:val="16"/>
              </w:rPr>
              <w:t xml:space="preserve">14.6%</w:t>
            </w:r>
          </w:p>
        </w:tc>
        <w:tc>
          <w:tcPr>
            <w:tcW w:type="pct" w:w="10.4%"/>
            <w:tcMar>
              <w:top w:type="dxa" w:w="70"/>
              <w:left w:type="dxa" w:w="110"/>
              <w:bottom w:type="dxa" w:w="70"/>
              <w:right w:type="dxa" w:w="110"/>
            </w:tcMar>
            <w:vAlign w:val="center"/>
          </w:tcPr>
          <w:p>
            <w:pPr>
              <w:jc w:val="center"/>
            </w:pPr>
            <w:r>
              <w:rPr>
                <w:rFonts w:ascii="Arial" w:cs="Arial" w:eastAsia="Arial" w:hAnsi="Arial"/>
                <w:b w:val="false"/>
                <w:bCs w:val="false"/>
                <w:color w:val="2A2620"/>
                <w:sz w:val="16"/>
                <w:szCs w:val="16"/>
              </w:rPr>
              <w:t xml:space="preserve">15.4%</w:t>
            </w:r>
          </w:p>
        </w:tc>
        <w:tc>
          <w:tcPr>
            <w:tcW w:type="pct" w:w="10.4%"/>
            <w:tcMar>
              <w:top w:type="dxa" w:w="70"/>
              <w:left w:type="dxa" w:w="110"/>
              <w:bottom w:type="dxa" w:w="70"/>
              <w:right w:type="dxa" w:w="110"/>
            </w:tcMar>
            <w:vAlign w:val="center"/>
          </w:tcPr>
          <w:p>
            <w:pPr>
              <w:jc w:val="center"/>
            </w:pPr>
            <w:r>
              <w:rPr>
                <w:rFonts w:ascii="Arial" w:cs="Arial" w:eastAsia="Arial" w:hAnsi="Arial"/>
                <w:b w:val="false"/>
                <w:bCs w:val="false"/>
                <w:color w:val="2A2620"/>
                <w:sz w:val="16"/>
                <w:szCs w:val="16"/>
              </w:rPr>
              <w:t xml:space="preserve">15.4%</w:t>
            </w:r>
          </w:p>
        </w:tc>
        <w:tc>
          <w:tcPr>
            <w:tcW w:type="pct" w:w="10.4%"/>
            <w:tcMar>
              <w:top w:type="dxa" w:w="70"/>
              <w:left w:type="dxa" w:w="110"/>
              <w:bottom w:type="dxa" w:w="70"/>
              <w:right w:type="dxa" w:w="110"/>
            </w:tcMar>
            <w:vAlign w:val="center"/>
          </w:tcPr>
          <w:p>
            <w:pPr>
              <w:jc w:val="center"/>
            </w:pPr>
            <w:r>
              <w:rPr>
                <w:rFonts w:ascii="Arial" w:cs="Arial" w:eastAsia="Arial" w:hAnsi="Arial"/>
                <w:b w:val="false"/>
                <w:bCs w:val="false"/>
                <w:color w:val="2A2620"/>
                <w:sz w:val="16"/>
                <w:szCs w:val="16"/>
              </w:rPr>
              <w:t xml:space="preserve">15.4%</w:t>
            </w:r>
          </w:p>
        </w:tc>
        <w:tc>
          <w:tcPr>
            <w:tcW w:type="pct" w:w="10.4%"/>
            <w:tcMar>
              <w:top w:type="dxa" w:w="70"/>
              <w:left w:type="dxa" w:w="110"/>
              <w:bottom w:type="dxa" w:w="70"/>
              <w:right w:type="dxa" w:w="110"/>
            </w:tcMar>
            <w:vAlign w:val="center"/>
          </w:tcPr>
          <w:p>
            <w:pPr>
              <w:jc w:val="center"/>
            </w:pPr>
            <w:r>
              <w:rPr>
                <w:rFonts w:ascii="Arial" w:cs="Arial" w:eastAsia="Arial" w:hAnsi="Arial"/>
                <w:b w:val="false"/>
                <w:bCs w:val="false"/>
                <w:color w:val="2A2620"/>
                <w:sz w:val="16"/>
                <w:szCs w:val="16"/>
              </w:rPr>
              <w:t xml:space="preserve">15.4%</w:t>
            </w:r>
          </w:p>
        </w:tc>
        <w:tc>
          <w:tcPr>
            <w:tcW w:type="pct" w:w="10.4%"/>
            <w:tcMar>
              <w:top w:type="dxa" w:w="70"/>
              <w:left w:type="dxa" w:w="110"/>
              <w:bottom w:type="dxa" w:w="70"/>
              <w:right w:type="dxa" w:w="110"/>
            </w:tcMar>
            <w:vAlign w:val="center"/>
          </w:tcPr>
          <w:p>
            <w:pPr>
              <w:jc w:val="center"/>
            </w:pPr>
            <w:r>
              <w:rPr>
                <w:rFonts w:ascii="Arial" w:cs="Arial" w:eastAsia="Arial" w:hAnsi="Arial"/>
                <w:b w:val="false"/>
                <w:bCs w:val="false"/>
                <w:color w:val="2A2620"/>
                <w:sz w:val="16"/>
                <w:szCs w:val="16"/>
              </w:rPr>
              <w:t xml:space="preserve">15.4%</w:t>
            </w:r>
          </w:p>
        </w:tc>
        <w:tc>
          <w:tcPr>
            <w:tcW w:type="pct" w:w="10.4%"/>
            <w:tcMar>
              <w:top w:type="dxa" w:w="70"/>
              <w:left w:type="dxa" w:w="110"/>
              <w:bottom w:type="dxa" w:w="70"/>
              <w:right w:type="dxa" w:w="110"/>
            </w:tcMar>
            <w:vAlign w:val="center"/>
          </w:tcPr>
          <w:p>
            <w:pPr>
              <w:jc w:val="center"/>
            </w:pPr>
            <w:r>
              <w:rPr>
                <w:rFonts w:ascii="Arial" w:cs="Arial" w:eastAsia="Arial" w:hAnsi="Arial"/>
                <w:b w:val="false"/>
                <w:bCs w:val="false"/>
                <w:color w:val="2A2620"/>
                <w:sz w:val="16"/>
                <w:szCs w:val="16"/>
              </w:rPr>
              <w:t xml:space="preserve">15.4%</w:t>
            </w:r>
          </w:p>
        </w:tc>
      </w:tr>
      <w:tr>
        <w:tc>
          <w:tcPr>
            <w:tcW w:type="pct" w:w="16.8%"/>
            <w:shd w:fill="FBF9F4" w:color="auto" w:val="clear"/>
            <w:tcMar>
              <w:top w:type="dxa" w:w="70"/>
              <w:left w:type="dxa" w:w="110"/>
              <w:bottom w:type="dxa" w:w="70"/>
              <w:right w:type="dxa" w:w="110"/>
            </w:tcMar>
            <w:vAlign w:val="center"/>
          </w:tcPr>
          <w:p>
            <w:pPr>
              <w:jc w:val="left"/>
            </w:pPr>
            <w:r>
              <w:rPr>
                <w:rFonts w:ascii="Arial" w:cs="Arial" w:eastAsia="Arial" w:hAnsi="Arial"/>
                <w:b w:val="false"/>
                <w:bCs w:val="false"/>
                <w:color w:val="2A2620"/>
                <w:sz w:val="16"/>
                <w:szCs w:val="16"/>
              </w:rPr>
              <w:t xml:space="preserve">Adj. EBITDA</w:t>
            </w:r>
          </w:p>
        </w:tc>
        <w:tc>
          <w:tcPr>
            <w:tcW w:type="pct" w:w="10.4%"/>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6"/>
                <w:szCs w:val="16"/>
              </w:rPr>
              <w:t xml:space="preserve">181</w:t>
            </w:r>
          </w:p>
        </w:tc>
        <w:tc>
          <w:tcPr>
            <w:tcW w:type="pct" w:w="10.4%"/>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6"/>
                <w:szCs w:val="16"/>
              </w:rPr>
              <w:t xml:space="preserve">250</w:t>
            </w:r>
          </w:p>
        </w:tc>
        <w:tc>
          <w:tcPr>
            <w:tcW w:type="pct" w:w="10.4%"/>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6"/>
                <w:szCs w:val="16"/>
              </w:rPr>
              <w:t xml:space="preserve">193</w:t>
            </w:r>
          </w:p>
        </w:tc>
        <w:tc>
          <w:tcPr>
            <w:tcW w:type="pct" w:w="10.4%"/>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6"/>
                <w:szCs w:val="16"/>
              </w:rPr>
              <w:t xml:space="preserve">211</w:t>
            </w:r>
          </w:p>
        </w:tc>
        <w:tc>
          <w:tcPr>
            <w:tcW w:type="pct" w:w="10.4%"/>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6"/>
                <w:szCs w:val="16"/>
              </w:rPr>
              <w:t xml:space="preserve">290</w:t>
            </w:r>
          </w:p>
        </w:tc>
        <w:tc>
          <w:tcPr>
            <w:tcW w:type="pct" w:w="10.4%"/>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6"/>
                <w:szCs w:val="16"/>
              </w:rPr>
              <w:t xml:space="preserve">379</w:t>
            </w:r>
          </w:p>
        </w:tc>
        <w:tc>
          <w:tcPr>
            <w:tcW w:type="pct" w:w="10.4%"/>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6"/>
                <w:szCs w:val="16"/>
              </w:rPr>
              <w:t xml:space="preserve">458</w:t>
            </w:r>
          </w:p>
        </w:tc>
        <w:tc>
          <w:tcPr>
            <w:tcW w:type="pct" w:w="10.4%"/>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6"/>
                <w:szCs w:val="16"/>
              </w:rPr>
              <w:t xml:space="preserve">522</w:t>
            </w:r>
          </w:p>
        </w:tc>
      </w:tr>
      <w:tr>
        <w:tc>
          <w:tcPr>
            <w:tcW w:type="pct" w:w="16.8%"/>
            <w:tcMar>
              <w:top w:type="dxa" w:w="70"/>
              <w:left w:type="dxa" w:w="110"/>
              <w:bottom w:type="dxa" w:w="70"/>
              <w:right w:type="dxa" w:w="110"/>
            </w:tcMar>
            <w:vAlign w:val="center"/>
          </w:tcPr>
          <w:p>
            <w:pPr>
              <w:jc w:val="left"/>
            </w:pPr>
            <w:r>
              <w:rPr>
                <w:rFonts w:ascii="Arial" w:cs="Arial" w:eastAsia="Arial" w:hAnsi="Arial"/>
                <w:b w:val="false"/>
                <w:bCs w:val="false"/>
                <w:color w:val="2A2620"/>
                <w:sz w:val="16"/>
                <w:szCs w:val="16"/>
              </w:rPr>
              <w:t xml:space="preserve">Adj. EBITDA margin</w:t>
            </w:r>
          </w:p>
        </w:tc>
        <w:tc>
          <w:tcPr>
            <w:tcW w:type="pct" w:w="10.4%"/>
            <w:tcMar>
              <w:top w:type="dxa" w:w="70"/>
              <w:left w:type="dxa" w:w="110"/>
              <w:bottom w:type="dxa" w:w="70"/>
              <w:right w:type="dxa" w:w="110"/>
            </w:tcMar>
            <w:vAlign w:val="center"/>
          </w:tcPr>
          <w:p>
            <w:pPr>
              <w:jc w:val="center"/>
            </w:pPr>
            <w:r>
              <w:rPr>
                <w:rFonts w:ascii="Arial" w:cs="Arial" w:eastAsia="Arial" w:hAnsi="Arial"/>
                <w:b w:val="false"/>
                <w:bCs w:val="false"/>
                <w:color w:val="2A2620"/>
                <w:sz w:val="16"/>
                <w:szCs w:val="16"/>
              </w:rPr>
              <w:t xml:space="preserve">10.2%</w:t>
            </w:r>
          </w:p>
        </w:tc>
        <w:tc>
          <w:tcPr>
            <w:tcW w:type="pct" w:w="10.4%"/>
            <w:tcMar>
              <w:top w:type="dxa" w:w="70"/>
              <w:left w:type="dxa" w:w="110"/>
              <w:bottom w:type="dxa" w:w="70"/>
              <w:right w:type="dxa" w:w="110"/>
            </w:tcMar>
            <w:vAlign w:val="center"/>
          </w:tcPr>
          <w:p>
            <w:pPr>
              <w:jc w:val="center"/>
            </w:pPr>
            <w:r>
              <w:rPr>
                <w:rFonts w:ascii="Arial" w:cs="Arial" w:eastAsia="Arial" w:hAnsi="Arial"/>
                <w:b w:val="false"/>
                <w:bCs w:val="false"/>
                <w:color w:val="2A2620"/>
                <w:sz w:val="16"/>
                <w:szCs w:val="16"/>
              </w:rPr>
              <w:t xml:space="preserve">11.3%</w:t>
            </w:r>
          </w:p>
        </w:tc>
        <w:tc>
          <w:tcPr>
            <w:tcW w:type="pct" w:w="10.4%"/>
            <w:tcMar>
              <w:top w:type="dxa" w:w="70"/>
              <w:left w:type="dxa" w:w="110"/>
              <w:bottom w:type="dxa" w:w="70"/>
              <w:right w:type="dxa" w:w="110"/>
            </w:tcMar>
            <w:vAlign w:val="center"/>
          </w:tcPr>
          <w:p>
            <w:pPr>
              <w:jc w:val="center"/>
            </w:pPr>
            <w:r>
              <w:rPr>
                <w:rFonts w:ascii="Arial" w:cs="Arial" w:eastAsia="Arial" w:hAnsi="Arial"/>
                <w:b w:val="false"/>
                <w:bCs w:val="false"/>
                <w:color w:val="2A2620"/>
                <w:sz w:val="16"/>
                <w:szCs w:val="16"/>
              </w:rPr>
              <w:t xml:space="preserve">8.3%</w:t>
            </w:r>
          </w:p>
        </w:tc>
        <w:tc>
          <w:tcPr>
            <w:tcW w:type="pct" w:w="10.4%"/>
            <w:tcMar>
              <w:top w:type="dxa" w:w="70"/>
              <w:left w:type="dxa" w:w="110"/>
              <w:bottom w:type="dxa" w:w="70"/>
              <w:right w:type="dxa" w:w="110"/>
            </w:tcMar>
            <w:vAlign w:val="center"/>
          </w:tcPr>
          <w:p>
            <w:pPr>
              <w:jc w:val="center"/>
            </w:pPr>
            <w:r>
              <w:rPr>
                <w:rFonts w:ascii="Arial" w:cs="Arial" w:eastAsia="Arial" w:hAnsi="Arial"/>
                <w:b w:val="false"/>
                <w:bCs w:val="false"/>
                <w:color w:val="2A2620"/>
                <w:sz w:val="16"/>
                <w:szCs w:val="16"/>
              </w:rPr>
              <w:t xml:space="preserve">7.5%</w:t>
            </w:r>
          </w:p>
        </w:tc>
        <w:tc>
          <w:tcPr>
            <w:tcW w:type="pct" w:w="10.4%"/>
            <w:tcMar>
              <w:top w:type="dxa" w:w="70"/>
              <w:left w:type="dxa" w:w="110"/>
              <w:bottom w:type="dxa" w:w="70"/>
              <w:right w:type="dxa" w:w="110"/>
            </w:tcMar>
            <w:vAlign w:val="center"/>
          </w:tcPr>
          <w:p>
            <w:pPr>
              <w:jc w:val="center"/>
            </w:pPr>
            <w:r>
              <w:rPr>
                <w:rFonts w:ascii="Arial" w:cs="Arial" w:eastAsia="Arial" w:hAnsi="Arial"/>
                <w:b w:val="false"/>
                <w:bCs w:val="false"/>
                <w:color w:val="2A2620"/>
                <w:sz w:val="16"/>
                <w:szCs w:val="16"/>
              </w:rPr>
              <w:t xml:space="preserve">9.0%</w:t>
            </w:r>
          </w:p>
        </w:tc>
        <w:tc>
          <w:tcPr>
            <w:tcW w:type="pct" w:w="10.4%"/>
            <w:tcMar>
              <w:top w:type="dxa" w:w="70"/>
              <w:left w:type="dxa" w:w="110"/>
              <w:bottom w:type="dxa" w:w="70"/>
              <w:right w:type="dxa" w:w="110"/>
            </w:tcMar>
            <w:vAlign w:val="center"/>
          </w:tcPr>
          <w:p>
            <w:pPr>
              <w:jc w:val="center"/>
            </w:pPr>
            <w:r>
              <w:rPr>
                <w:rFonts w:ascii="Arial" w:cs="Arial" w:eastAsia="Arial" w:hAnsi="Arial"/>
                <w:b w:val="false"/>
                <w:bCs w:val="false"/>
                <w:color w:val="2A2620"/>
                <w:sz w:val="16"/>
                <w:szCs w:val="16"/>
              </w:rPr>
              <w:t xml:space="preserve">10.5%</w:t>
            </w:r>
          </w:p>
        </w:tc>
        <w:tc>
          <w:tcPr>
            <w:tcW w:type="pct" w:w="10.4%"/>
            <w:tcMar>
              <w:top w:type="dxa" w:w="70"/>
              <w:left w:type="dxa" w:w="110"/>
              <w:bottom w:type="dxa" w:w="70"/>
              <w:right w:type="dxa" w:w="110"/>
            </w:tcMar>
            <w:vAlign w:val="center"/>
          </w:tcPr>
          <w:p>
            <w:pPr>
              <w:jc w:val="center"/>
            </w:pPr>
            <w:r>
              <w:rPr>
                <w:rFonts w:ascii="Arial" w:cs="Arial" w:eastAsia="Arial" w:hAnsi="Arial"/>
                <w:b w:val="false"/>
                <w:bCs w:val="false"/>
                <w:color w:val="2A2620"/>
                <w:sz w:val="16"/>
                <w:szCs w:val="16"/>
              </w:rPr>
              <w:t xml:space="preserve">11.5%</w:t>
            </w:r>
          </w:p>
        </w:tc>
        <w:tc>
          <w:tcPr>
            <w:tcW w:type="pct" w:w="10.4%"/>
            <w:tcMar>
              <w:top w:type="dxa" w:w="70"/>
              <w:left w:type="dxa" w:w="110"/>
              <w:bottom w:type="dxa" w:w="70"/>
              <w:right w:type="dxa" w:w="110"/>
            </w:tcMar>
            <w:vAlign w:val="center"/>
          </w:tcPr>
          <w:p>
            <w:pPr>
              <w:jc w:val="center"/>
            </w:pPr>
            <w:r>
              <w:rPr>
                <w:rFonts w:ascii="Arial" w:cs="Arial" w:eastAsia="Arial" w:hAnsi="Arial"/>
                <w:b w:val="false"/>
                <w:bCs w:val="false"/>
                <w:color w:val="2A2620"/>
                <w:sz w:val="16"/>
                <w:szCs w:val="16"/>
              </w:rPr>
              <w:t xml:space="preserve">12.0%</w:t>
            </w:r>
          </w:p>
        </w:tc>
      </w:tr>
      <w:tr>
        <w:tc>
          <w:tcPr>
            <w:tcW w:type="pct" w:w="16.8%"/>
            <w:shd w:fill="FBF9F4" w:color="auto" w:val="clear"/>
            <w:tcMar>
              <w:top w:type="dxa" w:w="70"/>
              <w:left w:type="dxa" w:w="110"/>
              <w:bottom w:type="dxa" w:w="70"/>
              <w:right w:type="dxa" w:w="110"/>
            </w:tcMar>
            <w:vAlign w:val="center"/>
          </w:tcPr>
          <w:p>
            <w:pPr>
              <w:jc w:val="left"/>
            </w:pPr>
            <w:r>
              <w:rPr>
                <w:rFonts w:ascii="Arial" w:cs="Arial" w:eastAsia="Arial" w:hAnsi="Arial"/>
                <w:b w:val="false"/>
                <w:bCs w:val="false"/>
                <w:color w:val="2A2620"/>
                <w:sz w:val="16"/>
                <w:szCs w:val="16"/>
              </w:rPr>
              <w:t xml:space="preserve">FCFF</w:t>
            </w:r>
          </w:p>
        </w:tc>
        <w:tc>
          <w:tcPr>
            <w:tcW w:type="pct" w:w="10.4%"/>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6"/>
                <w:szCs w:val="16"/>
              </w:rPr>
              <w:t xml:space="preserve">–</w:t>
            </w:r>
          </w:p>
        </w:tc>
        <w:tc>
          <w:tcPr>
            <w:tcW w:type="pct" w:w="10.4%"/>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6"/>
                <w:szCs w:val="16"/>
              </w:rPr>
              <w:t xml:space="preserve">181</w:t>
            </w:r>
          </w:p>
        </w:tc>
        <w:tc>
          <w:tcPr>
            <w:tcW w:type="pct" w:w="10.4%"/>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6"/>
                <w:szCs w:val="16"/>
              </w:rPr>
              <w:t xml:space="preserve">130</w:t>
            </w:r>
          </w:p>
        </w:tc>
        <w:tc>
          <w:tcPr>
            <w:tcW w:type="pct" w:w="10.4%"/>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6"/>
                <w:szCs w:val="16"/>
              </w:rPr>
              <w:t xml:space="preserve">128</w:t>
            </w:r>
          </w:p>
        </w:tc>
        <w:tc>
          <w:tcPr>
            <w:tcW w:type="pct" w:w="10.4%"/>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6"/>
                <w:szCs w:val="16"/>
              </w:rPr>
              <w:t xml:space="preserve">197</w:t>
            </w:r>
          </w:p>
        </w:tc>
        <w:tc>
          <w:tcPr>
            <w:tcW w:type="pct" w:w="10.4%"/>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6"/>
                <w:szCs w:val="16"/>
              </w:rPr>
              <w:t xml:space="preserve">275</w:t>
            </w:r>
          </w:p>
        </w:tc>
        <w:tc>
          <w:tcPr>
            <w:tcW w:type="pct" w:w="10.4%"/>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6"/>
                <w:szCs w:val="16"/>
              </w:rPr>
              <w:t xml:space="preserve">343</w:t>
            </w:r>
          </w:p>
        </w:tc>
        <w:tc>
          <w:tcPr>
            <w:tcW w:type="pct" w:w="10.4%"/>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6"/>
                <w:szCs w:val="16"/>
              </w:rPr>
              <w:t xml:space="preserve">396</w:t>
            </w:r>
          </w:p>
        </w:tc>
      </w:tr>
    </w:tbl>
    <w:p>
      <w:pPr>
        <w:spacing w:after="200" w:before="40"/>
      </w:pPr>
      <w:r>
        <w:rPr>
          <w:rFonts w:ascii="Arial" w:cs="Arial" w:eastAsia="Arial" w:hAnsi="Arial"/>
          <w:i/>
          <w:iCs/>
          <w:color w:val="6B6455"/>
          <w:sz w:val="17"/>
          <w:szCs w:val="17"/>
        </w:rPr>
        <w:t xml:space="preserve">FY23A-FY25A actuals: Annual Report 2024, p.5, p.24; Q4 2025 Earnings Results, p.4. FY26E-FY30E and actual-year FCFF: Faheem Valuation Model on documented assumptions (workbook Assumptions tab). E = estimate.</w:t>
      </w:r>
    </w:p>
    <w:p>
      <w:pPr>
        <w:spacing w:after="160" w:line="264"/>
        <w:jc w:val="both"/>
      </w:pPr>
      <w:r>
        <w:rPr>
          <w:rFonts w:ascii="Arial" w:cs="Arial" w:eastAsia="Arial" w:hAnsi="Arial"/>
          <w:color w:val="2A2620"/>
          <w:sz w:val="21"/>
          <w:szCs w:val="21"/>
        </w:rPr>
        <w:t xml:space="preserve">The forecast rebuilds adjusted EBITDA margin from a depressed FY2026E base toward the FY2024A level by FY2030E, anchored to management's FY2026 guidance, the roll-off of the identified Q4-2025 one-offs, and Snoonu's first full consolidated year; each driver (order growth, AOV, monetisation rate, margin path, capex, working capital) is a documented assumption in the workbook's Assumptions tab with its rationale stated. Free cash flow to the firm is forecast-only: FY2023A-FY2025A capex is not separately disclosed, so the actual-year FCFF shown in the table is an estimate for continuity and does not feed the DCF. The explicit-period FCFF is discounted at a 13.3% WACC with a 3.0% Gordon terminal growth rate; the resulting enterprise value, net of SAR 16.6m of net cash, implies SAR 14.36 per share.</w:t>
      </w:r>
    </w:p>
    <w:p>
      <w:pPr>
        <w:spacing w:after="0" w:before="220"/>
      </w:pPr>
    </w:p>
    <w:p>
      <w:pPr>
        <w:pStyle w:val="Heading1"/>
        <w:pBdr>
          <w:bottom w:val="single" w:color="B08D2A" w:sz="12"/>
        </w:pBdr>
        <w:shd w:fill="2A2620" w:color="auto" w:val="clear"/>
        <w:spacing w:after="240" w:before="90"/>
        <w:ind w:left="172"/>
      </w:pPr>
      <w:r>
        <w:rPr>
          <w:rFonts w:ascii="Georgia" w:cs="Georgia" w:eastAsia="Georgia" w:hAnsi="Georgia"/>
          <w:b/>
          <w:bCs/>
          <w:color w:val="F5F1E6"/>
          <w:sz w:val="28"/>
          <w:szCs w:val="28"/>
        </w:rPr>
        <w:t xml:space="preserve">Compliance Screen</w:t>
      </w:r>
    </w:p>
    <w:p>
      <w:pPr>
        <w:spacing w:after="160" w:line="264"/>
        <w:jc w:val="both"/>
      </w:pPr>
      <w:r>
        <w:rPr>
          <w:rFonts w:ascii="Arial" w:cs="Arial" w:eastAsia="Arial" w:hAnsi="Arial"/>
          <w:color w:val="2A2620"/>
          <w:sz w:val="21"/>
          <w:szCs w:val="21"/>
        </w:rPr>
        <w:t xml:space="preserve">Jahez passes Lunar's IC Charter compliance screen (Tadawul-aligned, on IFRS figures as endorsed by SOCPA) on both financial-ratio tests: interest-bearing debt, SAR 161.2m of Islamic facilities and loans (Q1 2026 Financial Statements), sits at 6.01% of market capitalisation, and cash &amp; interest-bearing securities, SAR 510.7m of cash (Q1 2026 Financial Statements; interest-bearing securities are not separately disclosed, so the screen is run on cash alone), sits at 19.03%, both comfortably inside the Charter's 33% leverage/liquidity threshold. Including IFRS-16 lease liabilities (SAR 332.9m) in the stricter memo view still passes at 18.41%. Non-eligible income is not separately disclosed in the filings; per the Charter's methodology the position is screened via the business-activity test instead, food delivery and logistics is an eligible business activity, financed via Islamic facilities, rather than a fabricated income percentage. Overall Compliance screen: PASS.</w:t>
      </w:r>
    </w:p>
    <w:tbl>
      <w:tblPr>
        <w:tblW w:type="pct" w:w="100%"/>
        <w:tblBorders>
          <w:top w:val="single" w:color="B7AF9C" w:sz="4"/>
          <w:left w:val="single" w:color="B7AF9C" w:sz="4"/>
          <w:bottom w:val="single" w:color="B7AF9C" w:sz="4"/>
          <w:right w:val="single" w:color="B7AF9C" w:sz="4"/>
          <w:insideH w:val="single" w:color="D8D2C4" w:sz="4"/>
          <w:insideV w:val="single" w:color="D8D2C4" w:sz="4"/>
        </w:tblBorders>
      </w:tblPr>
      <w:tblGrid>
        <w:gridCol w:w="100"/>
        <w:gridCol w:w="100"/>
        <w:gridCol w:w="100"/>
        <w:gridCol w:w="100"/>
      </w:tblGrid>
      <w:tr>
        <w:trPr>
          <w:tblHeader/>
        </w:trPr>
        <w:tc>
          <w:tcPr>
            <w:tcW w:type="pct" w:w="40%"/>
            <w:shd w:fill="2A2620" w:color="auto" w:val="clear"/>
            <w:tcMar>
              <w:top w:type="dxa" w:w="70"/>
              <w:left w:type="dxa" w:w="110"/>
              <w:bottom w:type="dxa" w:w="70"/>
              <w:right w:type="dxa" w:w="110"/>
            </w:tcMar>
            <w:vAlign w:val="center"/>
          </w:tcPr>
          <w:p>
            <w:pPr>
              <w:jc w:val="left"/>
            </w:pPr>
            <w:r>
              <w:rPr>
                <w:rFonts w:ascii="Arial" w:cs="Arial" w:eastAsia="Arial" w:hAnsi="Arial"/>
                <w:b/>
                <w:bCs/>
                <w:color w:val="F5F1E6"/>
                <w:sz w:val="19"/>
                <w:szCs w:val="19"/>
              </w:rPr>
              <w:t xml:space="preserve">Screen</w:t>
            </w:r>
          </w:p>
        </w:tc>
        <w:tc>
          <w:tcPr>
            <w:tcW w:type="pct" w:w="20%"/>
            <w:shd w:fill="2A2620" w:color="auto" w:val="clear"/>
            <w:tcMar>
              <w:top w:type="dxa" w:w="70"/>
              <w:left w:type="dxa" w:w="110"/>
              <w:bottom w:type="dxa" w:w="70"/>
              <w:right w:type="dxa" w:w="110"/>
            </w:tcMar>
            <w:vAlign w:val="center"/>
          </w:tcPr>
          <w:p>
            <w:pPr>
              <w:jc w:val="center"/>
            </w:pPr>
            <w:r>
              <w:rPr>
                <w:rFonts w:ascii="Arial" w:cs="Arial" w:eastAsia="Arial" w:hAnsi="Arial"/>
                <w:b/>
                <w:bCs/>
                <w:color w:val="F5F1E6"/>
                <w:sz w:val="19"/>
                <w:szCs w:val="19"/>
              </w:rPr>
              <w:t xml:space="preserve">Value</w:t>
            </w:r>
          </w:p>
        </w:tc>
        <w:tc>
          <w:tcPr>
            <w:tcW w:type="pct" w:w="20%"/>
            <w:shd w:fill="2A2620" w:color="auto" w:val="clear"/>
            <w:tcMar>
              <w:top w:type="dxa" w:w="70"/>
              <w:left w:type="dxa" w:w="110"/>
              <w:bottom w:type="dxa" w:w="70"/>
              <w:right w:type="dxa" w:w="110"/>
            </w:tcMar>
            <w:vAlign w:val="center"/>
          </w:tcPr>
          <w:p>
            <w:pPr>
              <w:jc w:val="center"/>
            </w:pPr>
            <w:r>
              <w:rPr>
                <w:rFonts w:ascii="Arial" w:cs="Arial" w:eastAsia="Arial" w:hAnsi="Arial"/>
                <w:b/>
                <w:bCs/>
                <w:color w:val="F5F1E6"/>
                <w:sz w:val="19"/>
                <w:szCs w:val="19"/>
              </w:rPr>
              <w:t xml:space="preserve">Threshold</w:t>
            </w:r>
          </w:p>
        </w:tc>
        <w:tc>
          <w:tcPr>
            <w:tcW w:type="pct" w:w="20%"/>
            <w:shd w:fill="2A2620" w:color="auto" w:val="clear"/>
            <w:tcMar>
              <w:top w:type="dxa" w:w="70"/>
              <w:left w:type="dxa" w:w="110"/>
              <w:bottom w:type="dxa" w:w="70"/>
              <w:right w:type="dxa" w:w="110"/>
            </w:tcMar>
            <w:vAlign w:val="center"/>
          </w:tcPr>
          <w:p>
            <w:pPr>
              <w:jc w:val="center"/>
            </w:pPr>
            <w:r>
              <w:rPr>
                <w:rFonts w:ascii="Arial" w:cs="Arial" w:eastAsia="Arial" w:hAnsi="Arial"/>
                <w:b/>
                <w:bCs/>
                <w:color w:val="F5F1E6"/>
                <w:sz w:val="19"/>
                <w:szCs w:val="19"/>
              </w:rPr>
              <w:t xml:space="preserve">Flag</w:t>
            </w:r>
          </w:p>
        </w:tc>
      </w:tr>
      <w:tr>
        <w:tc>
          <w:tcPr>
            <w:tcW w:type="pct" w:w="40%"/>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Interest-bearing debt / market cap</w:t>
            </w:r>
          </w:p>
        </w:tc>
        <w:tc>
          <w:tcPr>
            <w:tcW w:type="pct" w:w="20%"/>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6.01%</w:t>
            </w:r>
          </w:p>
        </w:tc>
        <w:tc>
          <w:tcPr>
            <w:tcW w:type="pct" w:w="20%"/>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33.00%</w:t>
            </w:r>
          </w:p>
        </w:tc>
        <w:tc>
          <w:tcPr>
            <w:tcW w:type="pct" w:w="20%"/>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PASS</w:t>
            </w:r>
          </w:p>
        </w:tc>
      </w:tr>
      <w:tr>
        <w:tc>
          <w:tcPr>
            <w:tcW w:type="pct" w:w="40%"/>
            <w:shd w:fill="FBF9F4" w:color="auto" w:val="clear"/>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Cash &amp; securities / market cap</w:t>
            </w:r>
          </w:p>
        </w:tc>
        <w:tc>
          <w:tcPr>
            <w:tcW w:type="pct" w:w="20%"/>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19.03%</w:t>
            </w:r>
          </w:p>
        </w:tc>
        <w:tc>
          <w:tcPr>
            <w:tcW w:type="pct" w:w="20%"/>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33.00%</w:t>
            </w:r>
          </w:p>
        </w:tc>
        <w:tc>
          <w:tcPr>
            <w:tcW w:type="pct" w:w="20%"/>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PASS</w:t>
            </w:r>
          </w:p>
        </w:tc>
      </w:tr>
      <w:tr>
        <w:tc>
          <w:tcPr>
            <w:tcW w:type="pct" w:w="40%"/>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Memo: (debt + leases) / market cap</w:t>
            </w:r>
          </w:p>
        </w:tc>
        <w:tc>
          <w:tcPr>
            <w:tcW w:type="pct" w:w="20%"/>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18.41%</w:t>
            </w:r>
          </w:p>
        </w:tc>
        <w:tc>
          <w:tcPr>
            <w:tcW w:type="pct" w:w="20%"/>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33.00%</w:t>
            </w:r>
          </w:p>
        </w:tc>
        <w:tc>
          <w:tcPr>
            <w:tcW w:type="pct" w:w="20%"/>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PASS</w:t>
            </w:r>
          </w:p>
        </w:tc>
      </w:tr>
    </w:tbl>
    <w:p>
      <w:pPr>
        <w:spacing w:after="200" w:before="40"/>
      </w:pPr>
      <w:r>
        <w:rPr>
          <w:rFonts w:ascii="Arial" w:cs="Arial" w:eastAsia="Arial" w:hAnsi="Arial"/>
          <w:i/>
          <w:iCs/>
          <w:color w:val="6B6455"/>
          <w:sz w:val="17"/>
          <w:szCs w:val="17"/>
        </w:rPr>
        <w:t xml:space="preserve">Source: Q1 2026 Financial Statements, p.4 (balance sheet).</w:t>
      </w:r>
    </w:p>
    <w:p>
      <w:pPr>
        <w:spacing w:after="0" w:before="220"/>
      </w:pPr>
    </w:p>
    <w:p>
      <w:pPr>
        <w:pStyle w:val="Heading1"/>
        <w:pBdr>
          <w:bottom w:val="single" w:color="B08D2A" w:sz="12"/>
        </w:pBdr>
        <w:shd w:fill="2A2620" w:color="auto" w:val="clear"/>
        <w:spacing w:after="240" w:before="90"/>
        <w:ind w:left="172"/>
      </w:pPr>
      <w:r>
        <w:rPr>
          <w:rFonts w:ascii="Georgia" w:cs="Georgia" w:eastAsia="Georgia" w:hAnsi="Georgia"/>
          <w:b/>
          <w:bCs/>
          <w:color w:val="F5F1E6"/>
          <w:sz w:val="28"/>
          <w:szCs w:val="28"/>
        </w:rPr>
        <w:t xml:space="preserve">Catalysts and Monitoring KPIs</w:t>
      </w:r>
    </w:p>
    <w:p>
      <w:pPr>
        <w:spacing w:after="160" w:line="264"/>
        <w:jc w:val="both"/>
      </w:pPr>
      <w:r>
        <w:rPr>
          <w:rFonts w:ascii="Arial" w:cs="Arial" w:eastAsia="Arial" w:hAnsi="Arial"/>
          <w:color w:val="2A2620"/>
          <w:sz w:val="21"/>
          <w:szCs w:val="21"/>
        </w:rPr>
        <w:t xml:space="preserve">Near-term catalysts: Snoonu's first full financial year of consolidation (the FY2025 contribution was SAR 626.8m of Group GMV from an October start; a full FY2026 should show materially more), the path back to positive net income after the SAR 9.2m Q1-2026A loss, and the trajectory of take rate (15.4% in FY2025A) as a read on how much of the Keeta-led price war Jahez can pass through versus absorb. The Investment Committee should treat any further one-off impairment (Q4-2025A already carried SAR 55.4m across Red Color, Marn goodwill, Others-segment ECL and Snoonu deal costs) as a trigger to re-run the scenario weights, not as one-time noise to dismiss.</w:t>
      </w:r>
    </w:p>
    <w:p>
      <w:pPr>
        <w:pBdr>
          <w:bottom w:val="single" w:color="D8D2C4" w:sz="4"/>
        </w:pBdr>
        <w:spacing w:after="90" w:before="220"/>
      </w:pPr>
      <w:r>
        <w:rPr>
          <w:rFonts w:ascii="Arial" w:cs="Arial" w:eastAsia="Arial" w:hAnsi="Arial"/>
          <w:b/>
          <w:bCs/>
          <w:color w:val="514B40"/>
          <w:sz w:val="24"/>
          <w:szCs w:val="24"/>
        </w:rPr>
        <w:t xml:space="preserve">Monitoring KPIs</w:t>
      </w:r>
    </w:p>
    <w:p>
      <w:pPr>
        <w:pStyle w:val="ListParagraph"/>
        <w:numPr>
          <w:ilvl w:val="0"/>
          <w:numId w:val="1"/>
        </w:numPr>
        <w:spacing w:after="100" w:line="256"/>
        <w:jc w:val="both"/>
      </w:pPr>
      <w:r>
        <w:rPr>
          <w:rFonts w:ascii="Arial" w:cs="Arial" w:eastAsia="Arial" w:hAnsi="Arial"/>
          <w:color w:val="2A2620"/>
          <w:sz w:val="21"/>
          <w:szCs w:val="21"/>
        </w:rPr>
        <w:t xml:space="preserve">GMV growth, SAR 7,245.2m FY2025A (+10.8% YoY); watch for deceleration below the FY2026E-FY2030E forecast path</w:t>
      </w:r>
    </w:p>
    <w:p>
      <w:pPr>
        <w:pStyle w:val="ListParagraph"/>
        <w:numPr>
          <w:ilvl w:val="0"/>
          <w:numId w:val="1"/>
        </w:numPr>
        <w:spacing w:after="100" w:line="256"/>
        <w:jc w:val="both"/>
      </w:pPr>
      <w:r>
        <w:rPr>
          <w:rFonts w:ascii="Arial" w:cs="Arial" w:eastAsia="Arial" w:hAnsi="Arial"/>
          <w:color w:val="2A2620"/>
          <w:sz w:val="21"/>
          <w:szCs w:val="21"/>
        </w:rPr>
        <w:t xml:space="preserve">Take rate, 15.4% FY2025A vs 14.6% FY2024A; the primary lever on net revenue given a competitive GMV environment</w:t>
      </w:r>
    </w:p>
    <w:p>
      <w:pPr>
        <w:pStyle w:val="ListParagraph"/>
        <w:numPr>
          <w:ilvl w:val="0"/>
          <w:numId w:val="1"/>
        </w:numPr>
        <w:spacing w:after="100" w:line="256"/>
        <w:jc w:val="both"/>
      </w:pPr>
      <w:r>
        <w:rPr>
          <w:rFonts w:ascii="Arial" w:cs="Arial" w:eastAsia="Arial" w:hAnsi="Arial"/>
          <w:color w:val="2A2620"/>
          <w:sz w:val="21"/>
          <w:szCs w:val="21"/>
        </w:rPr>
        <w:t xml:space="preserve">Adjusted EBITDA margin, 8.3% FY2025A vs 11.3% FY2024A; the recovery path is the single biggest swing factor in the valuation</w:t>
      </w:r>
    </w:p>
    <w:p>
      <w:pPr>
        <w:pStyle w:val="ListParagraph"/>
        <w:numPr>
          <w:ilvl w:val="0"/>
          <w:numId w:val="1"/>
        </w:numPr>
        <w:spacing w:after="100" w:line="256"/>
        <w:jc w:val="both"/>
      </w:pPr>
      <w:r>
        <w:rPr>
          <w:rFonts w:ascii="Arial" w:cs="Arial" w:eastAsia="Arial" w:hAnsi="Arial"/>
          <w:color w:val="2A2620"/>
          <w:sz w:val="21"/>
          <w:szCs w:val="21"/>
        </w:rPr>
        <w:t xml:space="preserve">Net income / net loss, SAR 73.0m FY2025A, SAR (9.2m) Q1-2026A; watch for a return to consistent profitability</w:t>
      </w:r>
    </w:p>
    <w:p>
      <w:pPr>
        <w:pStyle w:val="ListParagraph"/>
        <w:numPr>
          <w:ilvl w:val="0"/>
          <w:numId w:val="1"/>
        </w:numPr>
        <w:spacing w:after="100" w:line="256"/>
        <w:jc w:val="both"/>
      </w:pPr>
      <w:r>
        <w:rPr>
          <w:rFonts w:ascii="Arial" w:cs="Arial" w:eastAsia="Arial" w:hAnsi="Arial"/>
          <w:color w:val="2A2620"/>
          <w:sz w:val="21"/>
          <w:szCs w:val="21"/>
        </w:rPr>
        <w:t xml:space="preserve">Cash &amp; net cash position, SAR 510.7m cash, SAR 16.6m net cash as of Q1-2026; supports the compliance screen and funds continued logistics build-out</w:t>
      </w:r>
    </w:p>
    <w:p>
      <w:pPr>
        <w:pStyle w:val="ListParagraph"/>
        <w:numPr>
          <w:ilvl w:val="0"/>
          <w:numId w:val="1"/>
        </w:numPr>
        <w:spacing w:after="100" w:line="256"/>
        <w:jc w:val="both"/>
      </w:pPr>
      <w:r>
        <w:rPr>
          <w:rFonts w:ascii="Arial" w:cs="Arial" w:eastAsia="Arial" w:hAnsi="Arial"/>
          <w:color w:val="2A2620"/>
          <w:sz w:val="21"/>
          <w:szCs w:val="21"/>
        </w:rPr>
        <w:t xml:space="preserve">Snoonu contribution, SAR 626.8m of FY2025A Group GMV from an October consolidation start; the full-year FY2026 read-through is the key diversification proof point</w:t>
      </w:r>
    </w:p>
    <w:p>
      <w:pPr>
        <w:spacing w:after="0" w:before="220"/>
      </w:pPr>
    </w:p>
    <w:p>
      <w:pPr>
        <w:pStyle w:val="Heading1"/>
        <w:pBdr>
          <w:bottom w:val="single" w:color="B08D2A" w:sz="12"/>
        </w:pBdr>
        <w:shd w:fill="2A2620" w:color="auto" w:val="clear"/>
        <w:spacing w:after="240" w:before="90"/>
        <w:ind w:left="172"/>
      </w:pPr>
      <w:r>
        <w:rPr>
          <w:rFonts w:ascii="Georgia" w:cs="Georgia" w:eastAsia="Georgia" w:hAnsi="Georgia"/>
          <w:b/>
          <w:bCs/>
          <w:color w:val="F5F1E6"/>
          <w:sz w:val="28"/>
          <w:szCs w:val="28"/>
        </w:rPr>
        <w:t xml:space="preserve">Appendix: Sources</w:t>
      </w:r>
    </w:p>
    <w:p>
      <w:pPr>
        <w:spacing w:after="160" w:line="264"/>
        <w:jc w:val="both"/>
      </w:pPr>
      <w:r>
        <w:rPr>
          <w:rFonts w:ascii="Arial" w:cs="Arial" w:eastAsia="Arial" w:hAnsi="Arial"/>
          <w:color w:val="2A2620"/>
          <w:sz w:val="21"/>
          <w:szCs w:val="21"/>
        </w:rPr>
        <w:t xml:space="preserve">Every source document actually cited in this memo, with the pages the cited figures came from. Full cell-level source trails are in the accompanying Excel valuation workbook.</w:t>
      </w:r>
    </w:p>
    <w:tbl>
      <w:tblPr>
        <w:tblW w:type="pct" w:w="100%"/>
        <w:tblBorders>
          <w:top w:val="single" w:color="B7AF9C" w:sz="4"/>
          <w:left w:val="single" w:color="B7AF9C" w:sz="4"/>
          <w:bottom w:val="single" w:color="B7AF9C" w:sz="4"/>
          <w:right w:val="single" w:color="B7AF9C" w:sz="4"/>
          <w:insideH w:val="single" w:color="D8D2C4" w:sz="4"/>
          <w:insideV w:val="single" w:color="D8D2C4" w:sz="4"/>
        </w:tblBorders>
      </w:tblPr>
      <w:tblGrid>
        <w:gridCol w:w="100"/>
        <w:gridCol w:w="100"/>
      </w:tblGrid>
      <w:tr>
        <w:trPr>
          <w:tblHeader/>
        </w:trPr>
        <w:tc>
          <w:tcPr>
            <w:tcW w:type="pct" w:w="70%"/>
            <w:shd w:fill="2A2620" w:color="auto" w:val="clear"/>
            <w:tcMar>
              <w:top w:type="dxa" w:w="70"/>
              <w:left w:type="dxa" w:w="110"/>
              <w:bottom w:type="dxa" w:w="70"/>
              <w:right w:type="dxa" w:w="110"/>
            </w:tcMar>
            <w:vAlign w:val="center"/>
          </w:tcPr>
          <w:p>
            <w:pPr>
              <w:jc w:val="left"/>
            </w:pPr>
            <w:r>
              <w:rPr>
                <w:rFonts w:ascii="Arial" w:cs="Arial" w:eastAsia="Arial" w:hAnsi="Arial"/>
                <w:b/>
                <w:bCs/>
                <w:color w:val="F5F1E6"/>
                <w:sz w:val="19"/>
                <w:szCs w:val="19"/>
              </w:rPr>
              <w:t xml:space="preserve">Document</w:t>
            </w:r>
          </w:p>
        </w:tc>
        <w:tc>
          <w:tcPr>
            <w:tcW w:type="pct" w:w="30%"/>
            <w:shd w:fill="2A2620" w:color="auto" w:val="clear"/>
            <w:tcMar>
              <w:top w:type="dxa" w:w="70"/>
              <w:left w:type="dxa" w:w="110"/>
              <w:bottom w:type="dxa" w:w="70"/>
              <w:right w:type="dxa" w:w="110"/>
            </w:tcMar>
            <w:vAlign w:val="center"/>
          </w:tcPr>
          <w:p>
            <w:pPr>
              <w:jc w:val="center"/>
            </w:pPr>
            <w:r>
              <w:rPr>
                <w:rFonts w:ascii="Arial" w:cs="Arial" w:eastAsia="Arial" w:hAnsi="Arial"/>
                <w:b/>
                <w:bCs/>
                <w:color w:val="F5F1E6"/>
                <w:sz w:val="19"/>
                <w:szCs w:val="19"/>
              </w:rPr>
              <w:t xml:space="preserve">Pages cited</w:t>
            </w:r>
          </w:p>
        </w:tc>
      </w:tr>
      <w:tr>
        <w:tc>
          <w:tcPr>
            <w:tcW w:type="pct" w:w="70%"/>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Annual Report 2024</w:t>
            </w:r>
          </w:p>
        </w:tc>
        <w:tc>
          <w:tcPr>
            <w:tcW w:type="pct" w:w="30%"/>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p.5, p.24</w:t>
            </w:r>
          </w:p>
        </w:tc>
      </w:tr>
      <w:tr>
        <w:tc>
          <w:tcPr>
            <w:tcW w:type="pct" w:w="70%"/>
            <w:shd w:fill="FBF9F4" w:color="auto" w:val="clear"/>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FY2025 Earnings Call Presentation</w:t>
            </w:r>
          </w:p>
        </w:tc>
        <w:tc>
          <w:tcPr>
            <w:tcW w:type="pct" w:w="30%"/>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p.6</w:t>
            </w:r>
          </w:p>
        </w:tc>
      </w:tr>
      <w:tr>
        <w:tc>
          <w:tcPr>
            <w:tcW w:type="pct" w:w="70%"/>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Industry &amp; News Pack · Saudi Quick-Commerce</w:t>
            </w:r>
          </w:p>
        </w:tc>
        <w:tc>
          <w:tcPr>
            <w:tcW w:type="pct" w:w="30%"/>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p.2, p.4</w:t>
            </w:r>
          </w:p>
        </w:tc>
      </w:tr>
      <w:tr>
        <w:tc>
          <w:tcPr>
            <w:tcW w:type="pct" w:w="70%"/>
            <w:shd w:fill="FBF9F4" w:color="auto" w:val="clear"/>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Lunar IC Charter &amp; Investment Mandate</w:t>
            </w:r>
          </w:p>
        </w:tc>
        <w:tc>
          <w:tcPr>
            <w:tcW w:type="pct" w:w="30%"/>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p.3, p.4</w:t>
            </w:r>
          </w:p>
        </w:tc>
      </w:tr>
      <w:tr>
        <w:tc>
          <w:tcPr>
            <w:tcW w:type="pct" w:w="70%"/>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Market Data &amp; Comparables Snapshot</w:t>
            </w:r>
          </w:p>
        </w:tc>
        <w:tc>
          <w:tcPr>
            <w:tcW w:type="pct" w:w="30%"/>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p.2, p.3, p.4</w:t>
            </w:r>
          </w:p>
        </w:tc>
      </w:tr>
      <w:tr>
        <w:tc>
          <w:tcPr>
            <w:tcW w:type="pct" w:w="70%"/>
            <w:shd w:fill="FBF9F4" w:color="auto" w:val="clear"/>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Q1 2026 Earnings Call Presentation</w:t>
            </w:r>
          </w:p>
        </w:tc>
        <w:tc>
          <w:tcPr>
            <w:tcW w:type="pct" w:w="30%"/>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p.26</w:t>
            </w:r>
          </w:p>
        </w:tc>
      </w:tr>
      <w:tr>
        <w:tc>
          <w:tcPr>
            <w:tcW w:type="pct" w:w="70%"/>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Q1 2026 Financial Statements</w:t>
            </w:r>
          </w:p>
        </w:tc>
        <w:tc>
          <w:tcPr>
            <w:tcW w:type="pct" w:w="30%"/>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p.4, p.5</w:t>
            </w:r>
          </w:p>
        </w:tc>
      </w:tr>
      <w:tr>
        <w:tc>
          <w:tcPr>
            <w:tcW w:type="pct" w:w="70%"/>
            <w:shd w:fill="FBF9F4" w:color="auto" w:val="clear"/>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Q4 2025 Earnings Results</w:t>
            </w:r>
          </w:p>
        </w:tc>
        <w:tc>
          <w:tcPr>
            <w:tcW w:type="pct" w:w="30%"/>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p.2, p.4, p.6, p.8, p.9, p.11</w:t>
            </w:r>
          </w:p>
        </w:tc>
      </w:tr>
    </w:tbl>
    <w:sectPr>
      <w:headerReference w:type="default" r:id="rId7"/>
      <w:headerReference w:type="first" r:id="rId8"/>
      <w:footerReference w:type="default" r:id="rId9"/>
      <w:footerReference w:type="first" r:id="rId10"/>
      <w:pgSz w:w="11908" w:h="16833"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8D2C4" w:sz="4"/>
      </w:pBdr>
      <w:spacing w:before="60"/>
    </w:pPr>
    <w:r>
      <w:rPr>
        <w:rFonts w:ascii="Arial" w:cs="Arial" w:eastAsia="Arial" w:hAnsi="Arial"/>
        <w:i/>
        <w:iCs/>
        <w:color w:val="6B6455"/>
        <w:sz w:val="16"/>
        <w:szCs w:val="16"/>
      </w:rPr>
      <w:t xml:space="preserve">Prepared by Faheem for Lunar Investments, Advisory only. Not investment advice.</w:t>
    </w:r>
  </w:p>
  <w:p>
    <w:pPr>
      <w:jc w:val="right"/>
    </w:pPr>
    <w:r>
      <w:rPr>
        <w:rFonts w:ascii="Arial" w:cs="Arial" w:eastAsia="Arial" w:hAnsi="Arial"/>
        <w:color w:val="6B6455"/>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08D2A" w:sz="6"/>
      </w:pBdr>
      <w:tabs>
        <w:tab w:val="right" w:pos="9360"/>
      </w:tabs>
      <w:spacing w:after="60"/>
    </w:pPr>
    <w:r>
      <w:rPr>
        <w:rFonts w:ascii="Arial" w:cs="Arial" w:eastAsia="Arial" w:hAnsi="Arial"/>
        <w:b/>
        <w:bCs/>
        <w:color w:val="514B40"/>
        <w:sz w:val="17"/>
        <w:szCs w:val="17"/>
      </w:rPr>
      <w:t xml:space="preserve">LUNAR INVESTMENTS</w:t>
    </w:r>
    <w:r>
      <w:rPr>
        <w:rFonts w:ascii="Arial" w:cs="Arial" w:eastAsia="Arial" w:hAnsi="Arial"/>
        <w:i/>
        <w:iCs/>
        <w:color w:val="6B6455"/>
        <w:sz w:val="17"/>
        <w:szCs w:val="17"/>
      </w:rPr>
      <w:t xml:space="preserve">	Investment Committee Memorandum, Jahez International (Tadawul: 6017)</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Jahez International, Investment Committee Memorandum</dc:title>
  <dc:subject>Jahez International Company (Tadawul: 6017)</dc:subject>
  <dc:creator>Faheem</dc:creator>
  <dc:description>Lunar Investments IC memo, advisory only, generated by Faheem</dc:description>
  <cp:lastModifiedBy>Un-named</cp:lastModifiedBy>
  <cp:revision>1</cp:revision>
  <dcterms:created xsi:type="dcterms:W3CDTF">2026-07-17T06:59:15.157Z</dcterms:created>
  <dcterms:modified xsi:type="dcterms:W3CDTF">2026-07-17T06:59:15.157Z</dcterms:modified>
</cp:coreProperties>
</file>

<file path=docProps/custom.xml><?xml version="1.0" encoding="utf-8"?>
<Properties xmlns="http://schemas.openxmlformats.org/officeDocument/2006/custom-properties" xmlns:vt="http://schemas.openxmlformats.org/officeDocument/2006/docPropsVTypes"/>
</file>