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</w:p>
    <w:p>
      <w:pPr>
        <w:shd w:fill="2A2620" w:color="auto" w:val="clear"/>
        <w:spacing w:after="240" w:before="180"/>
        <w:ind w:left="431"/>
      </w:pPr>
      <w:r>
        <w:rPr>
          <w:rFonts w:ascii="Georgia" w:cs="Georgia" w:eastAsia="Georgia" w:hAnsi="Georgia"/>
          <w:b/>
          <w:bCs/>
          <w:i w:val="false"/>
          <w:iCs w:val="false"/>
          <w:color w:val="F5F1E6"/>
          <w:sz w:val="60"/>
          <w:szCs w:val="60"/>
        </w:rPr>
        <w:t xml:space="preserve">LUNAR INVESTMENTS</w:t>
      </w:r>
    </w:p>
    <w:p>
      <w:pPr>
        <w:shd w:fill="2A2620" w:color="auto" w:val="clear"/>
        <w:spacing w:after="108" w:before="78"/>
        <w:ind w:left="431"/>
      </w:pPr>
      <w:r>
        <w:rPr>
          <w:rFonts w:ascii="Georgia" w:cs="Georgia" w:eastAsia="Georgia" w:hAnsi="Georgia"/>
          <w:b/>
          <w:bCs/>
          <w:i/>
          <w:iCs/>
          <w:color w:val="B08D2A"/>
          <w:sz w:val="26"/>
          <w:szCs w:val="26"/>
        </w:rPr>
        <w:t xml:space="preserve">Private Growth Equity, Deal Screening</w:t>
      </w:r>
    </w:p>
    <w:p>
      <w:pPr>
        <w:shd w:fill="2A2620" w:color="auto" w:val="clear"/>
        <w:spacing w:after="298" w:before="78"/>
        <w:ind w:left="431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F5F1E6"/>
          <w:sz w:val="26"/>
          <w:szCs w:val="26"/>
        </w:rPr>
        <w:t xml:space="preserve">Darb Logistics Technology: Screening Memorandum for the Investment Committee</w:t>
      </w:r>
    </w:p>
    <w:p>
      <w:pPr>
        <w:spacing w:after="260" w:before="160"/>
        <w:jc w:val="center"/>
      </w:pPr>
      <w:r>
        <w:rPr>
          <w:rFonts w:ascii="Arial" w:cs="Arial" w:eastAsia="Arial" w:hAnsi="Arial"/>
          <w:b/>
          <w:bCs/>
          <w:color w:val="6B6455"/>
          <w:sz w:val="17"/>
          <w:szCs w:val="17"/>
        </w:rPr>
        <w:t xml:space="preserve">PRIVILEGED &amp; CONFIDENTIAL · PREPARED FOR THE INVESTMENT COMMITTEE</w:t>
      </w:r>
    </w:p>
    <w:p>
      <w:pPr>
        <w:spacing w:after="80"/>
        <w:jc w:val="center"/>
      </w:pPr>
      <w:r>
        <w:rPr>
          <w:rFonts w:ascii="Georgia" w:cs="Georgia" w:eastAsia="Georgia" w:hAnsi="Georgia"/>
          <w:b/>
          <w:bCs/>
          <w:color w:val="3E6B49"/>
          <w:sz w:val="56"/>
          <w:szCs w:val="56"/>
        </w:rPr>
        <w:t xml:space="preserve">ADVANCE TO PITCH MEETING</w:t>
      </w:r>
    </w:p>
    <w:p>
      <w:pPr>
        <w:spacing w:after="240"/>
        <w:jc w:val="center"/>
      </w:pPr>
      <w:r>
        <w:rPr>
          <w:rFonts w:ascii="Arial" w:cs="Arial" w:eastAsia="Arial" w:hAnsi="Arial"/>
          <w:color w:val="514B40"/>
          <w:sz w:val="23"/>
          <w:szCs w:val="23"/>
        </w:rPr>
        <w:t xml:space="preserve">Series B · SAR 40M ask · Logistics SaaS · Riyadh</w:t>
      </w:r>
    </w:p>
    <w:tbl>
      <w:tblPr>
        <w:tblW w:type="pct" w:w="100%"/>
        <w:tblBorders>
          <w:top w:val="single" w:color="B7AF9C" w:sz="4"/>
          <w:left w:val="single" w:color="B7AF9C" w:sz="4"/>
          <w:bottom w:val="single" w:color="B7AF9C" w:sz="4"/>
          <w:right w:val="single" w:color="B7AF9C" w:sz="4"/>
          <w:insideH w:val="single" w:color="D8D2C4" w:sz="4"/>
          <w:insideV w:val="single" w:color="D8D2C4" w:sz="4"/>
        </w:tblBorders>
      </w:tblPr>
      <w:tblGrid>
        <w:gridCol w:w="100"/>
        <w:gridCol w:w="100"/>
      </w:tblGrid>
      <w:tr>
        <w:tc>
          <w:tcPr>
            <w:tcW w:type="pct" w:w="42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A2620"/>
                <w:sz w:val="19"/>
                <w:szCs w:val="19"/>
              </w:rPr>
              <w:t xml:space="preserve">Round / ask</w:t>
            </w:r>
          </w:p>
        </w:tc>
        <w:tc>
          <w:tcPr>
            <w:tcW w:type="pct" w:w="5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Series B · SAR 40M</w:t>
            </w:r>
          </w:p>
        </w:tc>
      </w:tr>
      <w:tr>
        <w:tc>
          <w:tcPr>
            <w:tcW w:type="pct" w:w="42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A2620"/>
                <w:sz w:val="19"/>
                <w:szCs w:val="19"/>
              </w:rPr>
              <w:t xml:space="preserve">Sector / headquarters</w:t>
            </w:r>
          </w:p>
        </w:tc>
        <w:tc>
          <w:tcPr>
            <w:tcW w:type="pct" w:w="5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Logistics SaaS · Riyadh, Saudi Arabia</w:t>
            </w:r>
          </w:p>
        </w:tc>
      </w:tr>
      <w:tr>
        <w:tc>
          <w:tcPr>
            <w:tcW w:type="pct" w:w="42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A2620"/>
                <w:sz w:val="19"/>
                <w:szCs w:val="19"/>
              </w:rPr>
              <w:t xml:space="preserve">ARR (company-reported, unaudited)</w:t>
            </w:r>
          </w:p>
        </w:tc>
        <w:tc>
          <w:tcPr>
            <w:tcW w:type="pct" w:w="5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SAR 18.2m FY2025A · SAR 29.5m FY2026E guided</w:t>
            </w:r>
          </w:p>
        </w:tc>
      </w:tr>
      <w:tr>
        <w:tc>
          <w:tcPr>
            <w:tcW w:type="pct" w:w="42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A2620"/>
                <w:sz w:val="19"/>
                <w:szCs w:val="19"/>
              </w:rPr>
              <w:t xml:space="preserve">Net revenue retention (FY2025A)</w:t>
            </w:r>
          </w:p>
        </w:tc>
        <w:tc>
          <w:tcPr>
            <w:tcW w:type="pct" w:w="5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118%</w:t>
            </w:r>
          </w:p>
        </w:tc>
      </w:tr>
      <w:tr>
        <w:tc>
          <w:tcPr>
            <w:tcW w:type="pct" w:w="42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A2620"/>
                <w:sz w:val="19"/>
                <w:szCs w:val="19"/>
              </w:rPr>
              <w:t xml:space="preserve">Screening result</w:t>
            </w:r>
          </w:p>
        </w:tc>
        <w:tc>
          <w:tcPr>
            <w:tcW w:type="pct" w:w="5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5 criteria pass · 1 concentration warning (IC acknowledgement required)</w:t>
            </w:r>
          </w:p>
        </w:tc>
      </w:tr>
      <w:tr>
        <w:tc>
          <w:tcPr>
            <w:tcW w:type="pct" w:w="42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A2620"/>
                <w:sz w:val="19"/>
                <w:szCs w:val="19"/>
              </w:rPr>
              <w:t xml:space="preserve">Compliance pre-screen</w:t>
            </w:r>
          </w:p>
        </w:tc>
        <w:tc>
          <w:tcPr>
            <w:tcW w:type="pct" w:w="5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Pass</w:t>
            </w:r>
          </w:p>
        </w:tc>
      </w:tr>
    </w:tbl>
    <w:p>
      <w:pPr>
        <w:spacing w:after="200" w:before="260"/>
        <w:jc w:val="center"/>
      </w:pPr>
      <w:r>
        <w:rPr>
          <w:rFonts w:ascii="Arial" w:cs="Arial" w:eastAsia="Arial" w:hAnsi="Arial"/>
          <w:color w:val="6B6455"/>
          <w:sz w:val="17"/>
          <w:szCs w:val="17"/>
        </w:rPr>
        <w:t xml:space="preserve">Contents: Purpose and Recommendation · Company at a Glance · Product and Market · Financial Summary · Use of Proceeds · Founding Team · Mandate Screening vs the IC Charter · Risks and Open Diligence Items · Sources</w:t>
      </w:r>
    </w:p>
    <w:p>
      <w:pPr>
        <w:pBdr>
          <w:top w:val="single" w:color="B08D2A" w:sz="6"/>
          <w:bottom w:val="single" w:color="B08D2A" w:sz="6"/>
        </w:pBdr>
        <w:spacing w:after="200" w:before="200"/>
        <w:jc w:val="center"/>
      </w:pPr>
      <w:r>
        <w:rPr>
          <w:rFonts w:ascii="Arial" w:cs="Arial" w:eastAsia="Arial" w:hAnsi="Arial"/>
          <w:i/>
          <w:iCs/>
          <w:color w:val="6B6455"/>
          <w:sz w:val="20"/>
          <w:szCs w:val="20"/>
        </w:rPr>
        <w:t xml:space="preserve">A screening recommendation only, the investment decision rests with the Investment Committee.</w:t>
      </w:r>
    </w:p>
    <w:p>
      <w:pPr>
        <w:spacing w:before="320"/>
        <w:jc w:val="center"/>
      </w:pPr>
      <w:r>
        <w:rPr>
          <w:rFonts w:ascii="Arial" w:cs="Arial" w:eastAsia="Arial" w:hAnsi="Arial"/>
          <w:color w:val="6B6455"/>
          <w:sz w:val="19"/>
          <w:szCs w:val="19"/>
        </w:rPr>
        <w:t xml:space="preserve">Prepared by Faheem for Lunar Investments · 15 July 2026</w:t>
      </w:r>
    </w:p>
    <w:p>
      <w:pPr>
        <w:pageBreakBefore/>
      </w:pPr>
    </w:p>
    <w:p>
      <w:pPr>
        <w:pStyle w:val="Heading1"/>
        <w:pBdr>
          <w:bottom w:val="single" w:color="B08D2A" w:sz="10"/>
        </w:pBdr>
        <w:spacing w:after="140" w:before="420"/>
      </w:pPr>
      <w:r>
        <w:rPr>
          <w:rFonts w:ascii="Georgia" w:cs="Georgia" w:eastAsia="Georgia" w:hAnsi="Georgia"/>
          <w:b/>
          <w:bCs/>
          <w:color w:val="2A2620"/>
          <w:sz w:val="32"/>
          <w:szCs w:val="32"/>
        </w:rPr>
        <w:t xml:space="preserve">Purpose and Recommendation</w:t>
      </w:r>
    </w:p>
    <w:p>
      <w:pPr>
        <w:spacing w:after="160" w:line="264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This memorandum summarizes the initial mandate screening of Darb Logistics Technology, an inbound Series B opportunity, against the Lunar Investments IC Charter. It is a screening-stage document: it establishes whether the opportunity clears the firm's baseline mandate criteria, not a full investment recommendation.</w:t>
      </w:r>
    </w:p>
    <w:p>
      <w:pPr>
        <w:spacing w:after="160" w:line="264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Screening recommendation: advance Darb to a pitch meeting. Five of six criteria pass outright; the sixth, sector concentration, is flagged rather than failed. The Charter treats a post-deal concentration breach as requiring explicit Investment Committee acknowledgement before the deal may advance further, not as an automatic decline, this acknowledgement is a required step, not a formality to be assumed.</w:t>
      </w:r>
    </w:p>
    <w:p>
      <w:pPr>
        <w:pStyle w:val="Heading1"/>
        <w:pBdr>
          <w:bottom w:val="single" w:color="B08D2A" w:sz="10"/>
        </w:pBdr>
        <w:spacing w:after="140" w:before="420"/>
      </w:pPr>
      <w:r>
        <w:rPr>
          <w:rFonts w:ascii="Georgia" w:cs="Georgia" w:eastAsia="Georgia" w:hAnsi="Georgia"/>
          <w:b/>
          <w:bCs/>
          <w:color w:val="2A2620"/>
          <w:sz w:val="32"/>
          <w:szCs w:val="32"/>
        </w:rPr>
        <w:t xml:space="preserve">Company at a Glance</w:t>
      </w:r>
    </w:p>
    <w:tbl>
      <w:tblPr>
        <w:tblW w:type="pct" w:w="100%"/>
        <w:tblBorders>
          <w:top w:val="single" w:color="B7AF9C" w:sz="4"/>
          <w:left w:val="single" w:color="B7AF9C" w:sz="4"/>
          <w:bottom w:val="single" w:color="B7AF9C" w:sz="4"/>
          <w:right w:val="single" w:color="B7AF9C" w:sz="4"/>
          <w:insideH w:val="single" w:color="D8D2C4" w:sz="4"/>
          <w:insideV w:val="single" w:color="D8D2C4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2A262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5F1E6"/>
                <w:sz w:val="19"/>
                <w:szCs w:val="19"/>
              </w:rPr>
              <w:t xml:space="preserve">Attribute</w:t>
            </w:r>
          </w:p>
        </w:tc>
        <w:tc>
          <w:tcPr>
            <w:tcW w:type="pct" w:w="70%"/>
            <w:shd w:fill="2A262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F1E6"/>
                <w:sz w:val="19"/>
                <w:szCs w:val="19"/>
              </w:rPr>
              <w:t xml:space="preserve">Detail</w:t>
            </w:r>
          </w:p>
        </w:tc>
      </w:tr>
      <w:tr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Round</w:t>
            </w:r>
          </w:p>
        </w:tc>
        <w:tc>
          <w:tcPr>
            <w:tcW w:type="pct" w:w="7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SAR 40M Series B</w:t>
            </w:r>
          </w:p>
        </w:tc>
      </w:tr>
      <w:tr>
        <w:tc>
          <w:tcPr>
            <w:tcW w:type="pct" w:w="3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Sector</w:t>
            </w:r>
          </w:p>
        </w:tc>
        <w:tc>
          <w:tcPr>
            <w:tcW w:type="pct" w:w="7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Logistics SaaS</w:t>
            </w:r>
          </w:p>
        </w:tc>
      </w:tr>
      <w:tr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Headquarters</w:t>
            </w:r>
          </w:p>
        </w:tc>
        <w:tc>
          <w:tcPr>
            <w:tcW w:type="pct" w:w="7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Riyadh, Kingdom of Saudi Arabia</w:t>
            </w:r>
          </w:p>
        </w:tc>
      </w:tr>
      <w:tr>
        <w:tc>
          <w:tcPr>
            <w:tcW w:type="pct" w:w="3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Founded</w:t>
            </w:r>
          </w:p>
        </w:tc>
        <w:tc>
          <w:tcPr>
            <w:tcW w:type="pct" w:w="7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2022</w:t>
            </w:r>
          </w:p>
        </w:tc>
      </w:tr>
      <w:tr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Source of introduction</w:t>
            </w:r>
          </w:p>
        </w:tc>
        <w:tc>
          <w:tcPr>
            <w:tcW w:type="pct" w:w="7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Inbound, founder outreach via Lunar's private growth-equity desk</w:t>
            </w:r>
          </w:p>
        </w:tc>
      </w:tr>
    </w:tbl>
    <w:p>
      <w:pPr>
        <w:spacing w:after="200" w:before="40"/>
      </w:pPr>
      <w:r>
        <w:rPr>
          <w:rFonts w:ascii="Arial" w:cs="Arial" w:eastAsia="Arial" w:hAnsi="Arial"/>
          <w:i/>
          <w:iCs/>
          <w:color w:val="6B6455"/>
          <w:sz w:val="17"/>
          <w:szCs w:val="17"/>
        </w:rPr>
        <w:t xml:space="preserve">Source: Darb Data Room · Screening Summary, p.1</w:t>
      </w:r>
    </w:p>
    <w:p>
      <w:pPr>
        <w:pStyle w:val="Heading1"/>
        <w:pBdr>
          <w:bottom w:val="single" w:color="B08D2A" w:sz="10"/>
        </w:pBdr>
        <w:spacing w:after="140" w:before="420"/>
      </w:pPr>
      <w:r>
        <w:rPr>
          <w:rFonts w:ascii="Georgia" w:cs="Georgia" w:eastAsia="Georgia" w:hAnsi="Georgia"/>
          <w:b/>
          <w:bCs/>
          <w:color w:val="2A2620"/>
          <w:sz w:val="32"/>
          <w:szCs w:val="32"/>
        </w:rPr>
        <w:t xml:space="preserve">Product and Market</w:t>
      </w:r>
    </w:p>
    <w:p>
      <w:pPr>
        <w:spacing w:after="160" w:line="264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Darb builds fleet- and route-optimization software for last-mile and middle-mile logistics operators in the Kingdom. The platform sits between shippers and carrier fleets, providing route planning, real-time tracking, proof-of-delivery, and carrier-performance analytics through a single dashboard and API layer. The product is deployed as subscription SaaS layered on the customer's existing fleet, avoiding the asset-heavy economics of an owned-fleet delivery business.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color w:val="514B40"/>
          <w:sz w:val="24"/>
          <w:szCs w:val="24"/>
        </w:rPr>
        <w:t xml:space="preserve">Product surface</w:t>
      </w:r>
    </w:p>
    <w:p>
      <w:pPr>
        <w:pStyle w:val="ListParagraph"/>
        <w:numPr>
          <w:ilvl w:val="0"/>
          <w:numId w:val="1"/>
        </w:numPr>
        <w:spacing w:after="80" w:line="250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Route Optimization Engine, dynamic routing across driver fleets</w:t>
      </w:r>
    </w:p>
    <w:p>
      <w:pPr>
        <w:pStyle w:val="ListParagraph"/>
        <w:numPr>
          <w:ilvl w:val="0"/>
          <w:numId w:val="1"/>
        </w:numPr>
        <w:spacing w:after="80" w:line="250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Fleet Ops Dashboard, live tracking, proof-of-delivery, exception management</w:t>
      </w:r>
    </w:p>
    <w:p>
      <w:pPr>
        <w:pStyle w:val="ListParagraph"/>
        <w:numPr>
          <w:ilvl w:val="0"/>
          <w:numId w:val="1"/>
        </w:numPr>
        <w:spacing w:after="80" w:line="250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Carrier API, integration layer for third-party carrier networks and quick-commerce platforms</w:t>
      </w:r>
    </w:p>
    <w:p>
      <w:pPr>
        <w:pStyle w:val="ListParagraph"/>
        <w:numPr>
          <w:ilvl w:val="0"/>
          <w:numId w:val="1"/>
        </w:numPr>
        <w:spacing w:after="80" w:line="250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Analytics Suite, delivery SLA, cost-per-order, and carrier-performance reporting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color w:val="514B40"/>
          <w:sz w:val="24"/>
          <w:szCs w:val="24"/>
        </w:rPr>
        <w:t xml:space="preserve">Market backdrop</w:t>
      </w:r>
    </w:p>
    <w:p>
      <w:pPr>
        <w:spacing w:after="160" w:line="264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Management frames the opportunity against rapid growth in Saudi e-commerce and quick-commerce delivery volumes, and the broader push toward logistics-sector digitization under Vision 2030's transport and logistics pillar. This is management's framing of the opportunity, presented here as a judgment to be tested in diligence, not an independently verified market estimate.</w:t>
      </w:r>
    </w:p>
    <w:p>
      <w:pPr>
        <w:spacing w:after="200" w:before="40"/>
      </w:pPr>
      <w:r>
        <w:rPr>
          <w:rFonts w:ascii="Arial" w:cs="Arial" w:eastAsia="Arial" w:hAnsi="Arial"/>
          <w:i/>
          <w:iCs/>
          <w:color w:val="6B6455"/>
          <w:sz w:val="17"/>
          <w:szCs w:val="17"/>
        </w:rPr>
        <w:t xml:space="preserve">Source: Darb Data Room · Screening Summary, p.2</w:t>
      </w:r>
    </w:p>
    <w:p>
      <w:pPr>
        <w:pStyle w:val="Heading1"/>
        <w:pBdr>
          <w:bottom w:val="single" w:color="B08D2A" w:sz="10"/>
        </w:pBdr>
        <w:spacing w:after="140" w:before="420"/>
      </w:pPr>
      <w:r>
        <w:rPr>
          <w:rFonts w:ascii="Georgia" w:cs="Georgia" w:eastAsia="Georgia" w:hAnsi="Georgia"/>
          <w:b/>
          <w:bCs/>
          <w:color w:val="2A2620"/>
          <w:sz w:val="32"/>
          <w:szCs w:val="32"/>
        </w:rPr>
        <w:t xml:space="preserve">Financial Summary</w:t>
      </w:r>
    </w:p>
    <w:p>
      <w:pPr>
        <w:spacing w:after="160" w:line="264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The figures below are Darb's own reporting, unaudited, as shared at the screening stage. Full audited or reviewed financial statements for FY2023-FY2025 sit in the data room under NDA and are a required diligence item before any ticket is issued.</w:t>
      </w:r>
    </w:p>
    <w:tbl>
      <w:tblPr>
        <w:tblW w:type="pct" w:w="100%"/>
        <w:tblBorders>
          <w:top w:val="single" w:color="B7AF9C" w:sz="4"/>
          <w:left w:val="single" w:color="B7AF9C" w:sz="4"/>
          <w:bottom w:val="single" w:color="B7AF9C" w:sz="4"/>
          <w:right w:val="single" w:color="B7AF9C" w:sz="4"/>
          <w:insideH w:val="single" w:color="D8D2C4" w:sz="4"/>
          <w:insideV w:val="single" w:color="D8D2C4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40%"/>
            <w:shd w:fill="2A262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5F1E6"/>
                <w:sz w:val="19"/>
                <w:szCs w:val="19"/>
              </w:rPr>
              <w:t xml:space="preserve">Metric</w:t>
            </w:r>
          </w:p>
        </w:tc>
        <w:tc>
          <w:tcPr>
            <w:tcW w:type="pct" w:w="30%"/>
            <w:shd w:fill="2A262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F1E6"/>
                <w:sz w:val="19"/>
                <w:szCs w:val="19"/>
              </w:rPr>
              <w:t xml:space="preserve">FY2025A</w:t>
            </w:r>
          </w:p>
        </w:tc>
        <w:tc>
          <w:tcPr>
            <w:tcW w:type="pct" w:w="30%"/>
            <w:shd w:fill="2A262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F1E6"/>
                <w:sz w:val="19"/>
                <w:szCs w:val="19"/>
              </w:rPr>
              <w:t xml:space="preserve">FY2026E</w:t>
            </w:r>
          </w:p>
        </w:tc>
      </w:tr>
      <w:tr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Annual Recurring Revenue (ARR)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SAR 18.2m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SAR 29.5m</w:t>
            </w:r>
          </w:p>
        </w:tc>
      </w:tr>
      <w:tr>
        <w:tc>
          <w:tcPr>
            <w:tcW w:type="pct" w:w="4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YoY ARR growth</w:t>
            </w:r>
          </w:p>
        </w:tc>
        <w:tc>
          <w:tcPr>
            <w:tcW w:type="pct" w:w="3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–</w:t>
            </w:r>
          </w:p>
        </w:tc>
        <w:tc>
          <w:tcPr>
            <w:tcW w:type="pct" w:w="3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62%</w:t>
            </w:r>
          </w:p>
        </w:tc>
      </w:tr>
      <w:tr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Gross margin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68%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71%</w:t>
            </w:r>
          </w:p>
        </w:tc>
      </w:tr>
      <w:tr>
        <w:tc>
          <w:tcPr>
            <w:tcW w:type="pct" w:w="4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Net revenue retention (NRR)</w:t>
            </w:r>
          </w:p>
        </w:tc>
        <w:tc>
          <w:tcPr>
            <w:tcW w:type="pct" w:w="3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118%</w:t>
            </w:r>
          </w:p>
        </w:tc>
        <w:tc>
          <w:tcPr>
            <w:tcW w:type="pct" w:w="3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124%</w:t>
            </w:r>
          </w:p>
        </w:tc>
      </w:tr>
      <w:tr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Logo count (active customers)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34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52</w:t>
            </w:r>
          </w:p>
        </w:tc>
      </w:tr>
      <w:tr>
        <w:tc>
          <w:tcPr>
            <w:tcW w:type="pct" w:w="4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Monthly cash burn (avg.)</w:t>
            </w:r>
          </w:p>
        </w:tc>
        <w:tc>
          <w:tcPr>
            <w:tcW w:type="pct" w:w="3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SAR 1.4m</w:t>
            </w:r>
          </w:p>
        </w:tc>
        <w:tc>
          <w:tcPr>
            <w:tcW w:type="pct" w:w="3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–</w:t>
            </w:r>
          </w:p>
        </w:tc>
      </w:tr>
      <w:tr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Cash runway at close (post-round)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–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~24 months</w:t>
            </w:r>
          </w:p>
        </w:tc>
      </w:tr>
    </w:tbl>
    <w:p>
      <w:pPr>
        <w:spacing w:after="200" w:before="40"/>
      </w:pPr>
      <w:r>
        <w:rPr>
          <w:rFonts w:ascii="Arial" w:cs="Arial" w:eastAsia="Arial" w:hAnsi="Arial"/>
          <w:i/>
          <w:iCs/>
          <w:color w:val="6B6455"/>
          <w:sz w:val="17"/>
          <w:szCs w:val="17"/>
        </w:rPr>
        <w:t xml:space="preserve">Source: Darb Data Room · Screening Summary, p.3. Company-reported and unaudited at screening stage.</w:t>
      </w:r>
    </w:p>
    <w:p>
      <w:pPr>
        <w:pStyle w:val="Heading1"/>
        <w:pBdr>
          <w:bottom w:val="single" w:color="B08D2A" w:sz="10"/>
        </w:pBdr>
        <w:spacing w:after="140" w:before="420"/>
      </w:pPr>
      <w:r>
        <w:rPr>
          <w:rFonts w:ascii="Georgia" w:cs="Georgia" w:eastAsia="Georgia" w:hAnsi="Georgia"/>
          <w:b/>
          <w:bCs/>
          <w:color w:val="2A2620"/>
          <w:sz w:val="32"/>
          <w:szCs w:val="32"/>
        </w:rPr>
        <w:t xml:space="preserve">Use of Proceeds</w:t>
      </w:r>
    </w:p>
    <w:p>
      <w:pPr>
        <w:spacing w:after="160" w:line="264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Management indicates the SAR 40M Series B is earmarked roughly 55% for go-to-market expansion (enterprise sales, quick-commerce partnerships), 30% for product and engineering headcount, and 15% for working capital and runway extension.</w:t>
      </w:r>
    </w:p>
    <w:p>
      <w:pPr>
        <w:spacing w:after="200" w:before="40"/>
      </w:pPr>
      <w:r>
        <w:rPr>
          <w:rFonts w:ascii="Arial" w:cs="Arial" w:eastAsia="Arial" w:hAnsi="Arial"/>
          <w:i/>
          <w:iCs/>
          <w:color w:val="6B6455"/>
          <w:sz w:val="17"/>
          <w:szCs w:val="17"/>
        </w:rPr>
        <w:t xml:space="preserve">Source: Darb Data Room · Screening Summary, p.3</w:t>
      </w:r>
    </w:p>
    <w:p>
      <w:pPr>
        <w:pStyle w:val="Heading1"/>
        <w:pBdr>
          <w:bottom w:val="single" w:color="B08D2A" w:sz="10"/>
        </w:pBdr>
        <w:spacing w:after="140" w:before="420"/>
      </w:pPr>
      <w:r>
        <w:rPr>
          <w:rFonts w:ascii="Georgia" w:cs="Georgia" w:eastAsia="Georgia" w:hAnsi="Georgia"/>
          <w:b/>
          <w:bCs/>
          <w:color w:val="2A2620"/>
          <w:sz w:val="32"/>
          <w:szCs w:val="32"/>
        </w:rPr>
        <w:t xml:space="preserve">Founding Team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color w:val="514B40"/>
          <w:sz w:val="24"/>
          <w:szCs w:val="24"/>
        </w:rPr>
        <w:t xml:space="preserve">Faisal Al-Otaibi, Co-founder &amp; CEO</w:t>
      </w:r>
    </w:p>
    <w:p>
      <w:pPr>
        <w:spacing w:after="160" w:line="264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Former operations lead at a Riyadh-based quick-commerce platform, where he built the last-mile dispatch system that Darb's routing engine is descended from. Industrial engineering background, King Saud University.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color w:val="514B40"/>
          <w:sz w:val="24"/>
          <w:szCs w:val="24"/>
        </w:rPr>
        <w:t xml:space="preserve">Nourah Al-Harbi, Co-founder &amp; CTO</w:t>
      </w:r>
    </w:p>
    <w:p>
      <w:pPr>
        <w:spacing w:after="160" w:line="264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Previously a senior backend engineer on a regional ride-hailing platform's logistics team. Led Darb's API and carrier-integration architecture from day one. Computer science background, KFUPM.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color w:val="514B40"/>
          <w:sz w:val="24"/>
          <w:szCs w:val="24"/>
        </w:rPr>
        <w:t xml:space="preserve">Khalid Al-Dossari, Co-founder &amp; Head of Revenue</w:t>
      </w:r>
    </w:p>
    <w:p>
      <w:pPr>
        <w:spacing w:after="160" w:line="264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Ten years in enterprise SaaS sales across the GCC prior to Darb, most recently running mid-market sales for a regional fleet-management vendor. Owns Darb's enterprise and quick-commerce partnership pipeline.</w:t>
      </w:r>
    </w:p>
    <w:p>
      <w:pPr>
        <w:spacing w:after="200" w:before="40"/>
      </w:pPr>
      <w:r>
        <w:rPr>
          <w:rFonts w:ascii="Arial" w:cs="Arial" w:eastAsia="Arial" w:hAnsi="Arial"/>
          <w:i/>
          <w:iCs/>
          <w:color w:val="6B6455"/>
          <w:sz w:val="17"/>
          <w:szCs w:val="17"/>
        </w:rPr>
        <w:t xml:space="preserve">Source: Darb Data Room · Screening Summary, p.4</w:t>
      </w:r>
    </w:p>
    <w:p>
      <w:pPr>
        <w:pStyle w:val="Heading1"/>
        <w:pBdr>
          <w:bottom w:val="single" w:color="B08D2A" w:sz="10"/>
        </w:pBdr>
        <w:spacing w:after="140" w:before="420"/>
      </w:pPr>
      <w:r>
        <w:rPr>
          <w:rFonts w:ascii="Georgia" w:cs="Georgia" w:eastAsia="Georgia" w:hAnsi="Georgia"/>
          <w:b/>
          <w:bCs/>
          <w:color w:val="2A2620"/>
          <w:sz w:val="32"/>
          <w:szCs w:val="32"/>
        </w:rPr>
        <w:t xml:space="preserve">Mandate Screening vs the IC Charter</w:t>
      </w:r>
    </w:p>
    <w:p>
      <w:pPr>
        <w:spacing w:after="160" w:line="264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The Screening Agent checked Darb against every Charter criterion that applies to a private growth-equity opportunity. Five criteria pass outright; sector concentration is flagged, not failed, per the Charter's own escalation rule.</w:t>
      </w:r>
    </w:p>
    <w:tbl>
      <w:tblPr>
        <w:tblW w:type="pct" w:w="100%"/>
        <w:tblBorders>
          <w:top w:val="single" w:color="B7AF9C" w:sz="4"/>
          <w:left w:val="single" w:color="B7AF9C" w:sz="4"/>
          <w:bottom w:val="single" w:color="B7AF9C" w:sz="4"/>
          <w:right w:val="single" w:color="B7AF9C" w:sz="4"/>
          <w:insideH w:val="single" w:color="D8D2C4" w:sz="4"/>
          <w:insideV w:val="single" w:color="D8D2C4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2A262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5F1E6"/>
                <w:sz w:val="19"/>
                <w:szCs w:val="19"/>
              </w:rPr>
              <w:t xml:space="preserve">Criterion</w:t>
            </w:r>
          </w:p>
        </w:tc>
        <w:tc>
          <w:tcPr>
            <w:tcW w:type="pct" w:w="12%"/>
            <w:shd w:fill="2A262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F1E6"/>
                <w:sz w:val="19"/>
                <w:szCs w:val="19"/>
              </w:rPr>
              <w:t xml:space="preserve">Verdict</w:t>
            </w:r>
          </w:p>
        </w:tc>
        <w:tc>
          <w:tcPr>
            <w:tcW w:type="pct" w:w="66%"/>
            <w:shd w:fill="2A262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F1E6"/>
                <w:sz w:val="19"/>
                <w:szCs w:val="19"/>
              </w:rPr>
              <w:t xml:space="preserve">Detail</w:t>
            </w:r>
          </w:p>
        </w:tc>
      </w:tr>
      <w:tr>
        <w:tc>
          <w:tcPr>
            <w:tcW w:type="pct" w:w="2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Sector mandate</w:t>
            </w:r>
          </w:p>
        </w:tc>
        <w:tc>
          <w:tcPr>
            <w:tcW w:type="pct" w:w="1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PASS</w:t>
            </w:r>
          </w:p>
        </w:tc>
        <w:tc>
          <w:tcPr>
            <w:tcW w:type="pct" w:w="6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Logistics SaaS falls within the Technology &amp; Consumer mandate.</w:t>
            </w:r>
          </w:p>
        </w:tc>
      </w:tr>
      <w:tr>
        <w:tc>
          <w:tcPr>
            <w:tcW w:type="pct" w:w="22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Ticket vs mandate</w:t>
            </w:r>
          </w:p>
        </w:tc>
        <w:tc>
          <w:tcPr>
            <w:tcW w:type="pct" w:w="12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PASS</w:t>
            </w:r>
          </w:p>
        </w:tc>
        <w:tc>
          <w:tcPr>
            <w:tcW w:type="pct" w:w="66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SAR 40M ask sits within the SAR 20-60M ticket band.</w:t>
            </w:r>
          </w:p>
        </w:tc>
      </w:tr>
      <w:tr>
        <w:tc>
          <w:tcPr>
            <w:tcW w:type="pct" w:w="2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Stage fit</w:t>
            </w:r>
          </w:p>
        </w:tc>
        <w:tc>
          <w:tcPr>
            <w:tcW w:type="pct" w:w="1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PASS</w:t>
            </w:r>
          </w:p>
        </w:tc>
        <w:tc>
          <w:tcPr>
            <w:tcW w:type="pct" w:w="6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Series B falls within the mandated Series A-C stage window.</w:t>
            </w:r>
          </w:p>
        </w:tc>
      </w:tr>
      <w:tr>
        <w:tc>
          <w:tcPr>
            <w:tcW w:type="pct" w:w="22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Compliance pre-screen</w:t>
            </w:r>
          </w:p>
        </w:tc>
        <w:tc>
          <w:tcPr>
            <w:tcW w:type="pct" w:w="12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PASS</w:t>
            </w:r>
          </w:p>
        </w:tc>
        <w:tc>
          <w:tcPr>
            <w:tcW w:type="pct" w:w="66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Business activity eligible; no leverage red flags at pre-screen.</w:t>
            </w:r>
          </w:p>
        </w:tc>
      </w:tr>
      <w:tr>
        <w:tc>
          <w:tcPr>
            <w:tcW w:type="pct" w:w="2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Concentration</w:t>
            </w:r>
          </w:p>
        </w:tc>
        <w:tc>
          <w:tcPr>
            <w:tcW w:type="pct" w:w="1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WARN</w:t>
            </w:r>
          </w:p>
        </w:tc>
        <w:tc>
          <w:tcPr>
            <w:tcW w:type="pct" w:w="6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Technology &amp; Consumer sector exposure at 8.5% of AUM; a SAR 40M ticket (2.0% of AUM) would bring post-deal sector exposure to 10.5%, above the 10% cap.</w:t>
            </w:r>
          </w:p>
        </w:tc>
      </w:tr>
      <w:tr>
        <w:tc>
          <w:tcPr>
            <w:tcW w:type="pct" w:w="22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Red flags</w:t>
            </w:r>
          </w:p>
        </w:tc>
        <w:tc>
          <w:tcPr>
            <w:tcW w:type="pct" w:w="12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PASS</w:t>
            </w:r>
          </w:p>
        </w:tc>
        <w:tc>
          <w:tcPr>
            <w:tcW w:type="pct" w:w="66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No sanctions, conflicts-of-interest, or related-party issues identified.</w:t>
            </w:r>
          </w:p>
        </w:tc>
      </w:tr>
    </w:tbl>
    <w:p>
      <w:pPr>
        <w:spacing w:after="200" w:before="40"/>
      </w:pPr>
      <w:r>
        <w:rPr>
          <w:rFonts w:ascii="Arial" w:cs="Arial" w:eastAsia="Arial" w:hAnsi="Arial"/>
          <w:i/>
          <w:iCs/>
          <w:color w:val="6B6455"/>
          <w:sz w:val="17"/>
          <w:szCs w:val="17"/>
        </w:rPr>
        <w:t xml:space="preserve">Source: Lunar IC Charter &amp; Investment Mandate, p.3; Source: Lunar IC Charter &amp; Investment Mandate, p.4; Source: Lunar IC Charter &amp; Investment Mandate, p.5.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color w:val="514B40"/>
          <w:sz w:val="24"/>
          <w:szCs w:val="24"/>
        </w:rPr>
        <w:t xml:space="preserve">Concentration detail</w:t>
      </w:r>
    </w:p>
    <w:p>
      <w:pPr>
        <w:spacing w:after="160" w:line="264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The Technology &amp; Consumer sector bucket currently sits at 8.5% of firm AUM. A SAR 40M ticket represents a further 2.0% of AUM, bringing post-deal sector exposure to 10.5%, above the Charter's 10% sector concentration cap. Per the Charter, this does not automatically fail the screen, but it requires explicit IC acknowledgement of the mandate breach before the deal may advance.</w:t>
      </w:r>
    </w:p>
    <w:p>
      <w:pPr>
        <w:spacing w:after="200" w:before="40"/>
      </w:pPr>
      <w:r>
        <w:rPr>
          <w:rFonts w:ascii="Arial" w:cs="Arial" w:eastAsia="Arial" w:hAnsi="Arial"/>
          <w:i/>
          <w:iCs/>
          <w:color w:val="6B6455"/>
          <w:sz w:val="17"/>
          <w:szCs w:val="17"/>
        </w:rPr>
        <w:t xml:space="preserve">Source: Lunar Current Portfolio Snapshot, p.1; Source: Lunar IC Charter &amp; Investment Mandate, p.4.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color w:val="514B40"/>
          <w:sz w:val="24"/>
          <w:szCs w:val="24"/>
        </w:rPr>
        <w:t xml:space="preserve">Red flags</w:t>
      </w:r>
    </w:p>
    <w:p>
      <w:pPr>
        <w:spacing w:after="160" w:line="264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No sanctions, conflicts-of-interest, or related-party issues were identified at the pre-screen stage.</w:t>
      </w:r>
    </w:p>
    <w:p>
      <w:pPr>
        <w:pStyle w:val="Heading1"/>
        <w:pBdr>
          <w:bottom w:val="single" w:color="B08D2A" w:sz="10"/>
        </w:pBdr>
        <w:spacing w:after="140" w:before="420"/>
      </w:pPr>
      <w:r>
        <w:rPr>
          <w:rFonts w:ascii="Georgia" w:cs="Georgia" w:eastAsia="Georgia" w:hAnsi="Georgia"/>
          <w:b/>
          <w:bCs/>
          <w:color w:val="2A2620"/>
          <w:sz w:val="32"/>
          <w:szCs w:val="32"/>
        </w:rPr>
        <w:t xml:space="preserve">Risks and Open Diligence Items</w:t>
      </w:r>
    </w:p>
    <w:p>
      <w:pPr>
        <w:pStyle w:val="ListParagraph"/>
        <w:numPr>
          <w:ilvl w:val="0"/>
          <w:numId w:val="1"/>
        </w:numPr>
        <w:spacing w:after="80" w:line="250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All financial figures in this memo are company-reported and unaudited, full audited/reviewed statements for FY2023-FY2025 are pending under NDA.</w:t>
      </w:r>
    </w:p>
    <w:p>
      <w:pPr>
        <w:pStyle w:val="ListParagraph"/>
        <w:numPr>
          <w:ilvl w:val="0"/>
          <w:numId w:val="1"/>
        </w:numPr>
        <w:spacing w:after="80" w:line="250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Customer concentration is unknown until the full data room (customer contracts and cohort-level retention) is reviewed, the segment split shared at screening is anonymized.</w:t>
      </w:r>
    </w:p>
    <w:p>
      <w:pPr>
        <w:pStyle w:val="ListParagraph"/>
        <w:numPr>
          <w:ilvl w:val="0"/>
          <w:numId w:val="1"/>
        </w:numPr>
        <w:spacing w:after="80" w:line="250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Net revenue retention durability at 118-124% has not been independently tested against cohort-level churn data.</w:t>
      </w:r>
    </w:p>
    <w:p>
      <w:pPr>
        <w:pStyle w:val="ListParagraph"/>
        <w:numPr>
          <w:ilvl w:val="0"/>
          <w:numId w:val="1"/>
        </w:numPr>
        <w:spacing w:after="80" w:line="250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Competitive response from in-house dispatch tooling built by large logistics operators and quick-commerce platforms is management's stated primary competitive risk, not yet independently assessed.</w:t>
      </w:r>
    </w:p>
    <w:p>
      <w:pPr>
        <w:spacing w:after="200" w:before="40"/>
      </w:pPr>
      <w:r>
        <w:rPr>
          <w:rFonts w:ascii="Arial" w:cs="Arial" w:eastAsia="Arial" w:hAnsi="Arial"/>
          <w:i/>
          <w:iCs/>
          <w:color w:val="6B6455"/>
          <w:sz w:val="17"/>
          <w:szCs w:val="17"/>
        </w:rPr>
        <w:t xml:space="preserve">Source: Darb Data Room · Screening Summary, p.6</w:t>
      </w:r>
    </w:p>
    <w:p>
      <w:pPr>
        <w:pStyle w:val="Heading1"/>
        <w:pBdr>
          <w:bottom w:val="single" w:color="B08D2A" w:sz="10"/>
        </w:pBdr>
        <w:spacing w:after="140" w:before="420"/>
      </w:pPr>
      <w:r>
        <w:rPr>
          <w:rFonts w:ascii="Georgia" w:cs="Georgia" w:eastAsia="Georgia" w:hAnsi="Georgia"/>
          <w:b/>
          <w:bCs/>
          <w:color w:val="2A2620"/>
          <w:sz w:val="32"/>
          <w:szCs w:val="32"/>
        </w:rPr>
        <w:t xml:space="preserve">Appendix: Sources</w:t>
      </w:r>
    </w:p>
    <w:p>
      <w:pPr>
        <w:spacing w:after="160" w:line="264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Every source document actually cited in this memo, with the pages the cited figures or facts came from.</w:t>
      </w:r>
    </w:p>
    <w:tbl>
      <w:tblPr>
        <w:tblW w:type="pct" w:w="100%"/>
        <w:tblBorders>
          <w:top w:val="single" w:color="B7AF9C" w:sz="4"/>
          <w:left w:val="single" w:color="B7AF9C" w:sz="4"/>
          <w:bottom w:val="single" w:color="B7AF9C" w:sz="4"/>
          <w:right w:val="single" w:color="B7AF9C" w:sz="4"/>
          <w:insideH w:val="single" w:color="D8D2C4" w:sz="4"/>
          <w:insideV w:val="single" w:color="D8D2C4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0%"/>
            <w:shd w:fill="2A262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5F1E6"/>
                <w:sz w:val="19"/>
                <w:szCs w:val="19"/>
              </w:rPr>
              <w:t xml:space="preserve">Document</w:t>
            </w:r>
          </w:p>
        </w:tc>
        <w:tc>
          <w:tcPr>
            <w:tcW w:type="pct" w:w="30%"/>
            <w:shd w:fill="2A262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F1E6"/>
                <w:sz w:val="19"/>
                <w:szCs w:val="19"/>
              </w:rPr>
              <w:t xml:space="preserve">Pages cited</w:t>
            </w:r>
          </w:p>
        </w:tc>
      </w:tr>
      <w:tr>
        <w:tc>
          <w:tcPr>
            <w:tcW w:type="pct" w:w="7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Darb Data Room · Screening Summary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p.1, p.2, p.3, p.4</w:t>
            </w:r>
          </w:p>
        </w:tc>
      </w:tr>
      <w:tr>
        <w:tc>
          <w:tcPr>
            <w:tcW w:type="pct" w:w="7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Lunar Current Portfolio Snapshot</w:t>
            </w:r>
          </w:p>
        </w:tc>
        <w:tc>
          <w:tcPr>
            <w:tcW w:type="pct" w:w="3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p.1</w:t>
            </w:r>
          </w:p>
        </w:tc>
      </w:tr>
      <w:tr>
        <w:tc>
          <w:tcPr>
            <w:tcW w:type="pct" w:w="7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Lunar IC Charter &amp; Investment Mandate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p.3, p.4, p.5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8" w:h="16833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4" w:sz="4"/>
      </w:pBdr>
      <w:spacing w:before="60"/>
    </w:pPr>
    <w:r>
      <w:rPr>
        <w:rFonts w:ascii="Arial" w:cs="Arial" w:eastAsia="Arial" w:hAnsi="Arial"/>
        <w:i/>
        <w:iCs/>
        <w:color w:val="6B6455"/>
        <w:sz w:val="16"/>
        <w:szCs w:val="16"/>
      </w:rPr>
      <w:t xml:space="preserve">Prepared by Faheem for Lunar Investments, Advisory only. Not investment advice.</w:t>
    </w:r>
  </w:p>
  <w:p>
    <w:pPr>
      <w:jc w:val="right"/>
    </w:pPr>
    <w:r>
      <w:rPr>
        <w:rFonts w:ascii="Arial" w:cs="Arial" w:eastAsia="Arial" w:hAnsi="Arial"/>
        <w:color w:val="6B6455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08D2A" w:sz="6"/>
      </w:pBdr>
      <w:tabs>
        <w:tab w:val="right" w:pos="9360"/>
      </w:tabs>
      <w:spacing w:after="60"/>
    </w:pPr>
    <w:r>
      <w:rPr>
        <w:rFonts w:ascii="Arial" w:cs="Arial" w:eastAsia="Arial" w:hAnsi="Arial"/>
        <w:b/>
        <w:bCs/>
        <w:color w:val="514B40"/>
        <w:sz w:val="17"/>
        <w:szCs w:val="17"/>
      </w:rPr>
      <w:t xml:space="preserve">LUNAR INVESTMENTS</w:t>
    </w:r>
    <w:r>
      <w:rPr>
        <w:rFonts w:ascii="Arial" w:cs="Arial" w:eastAsia="Arial" w:hAnsi="Arial"/>
        <w:i/>
        <w:iCs/>
        <w:color w:val="6B6455"/>
        <w:sz w:val="17"/>
        <w:szCs w:val="17"/>
      </w:rPr>
      <w:t xml:space="preserve">	Screening Memorandum, Darb Logistics Technology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Darb Logistics Technology, Screening Memorandum</dc:title>
  <dc:subject>Darb Logistics Technology, Series B screening</dc:subject>
  <dc:creator>Faheem</dc:creator>
  <dc:description>Lunar Investments screening memo, advisory only, generated by Faheem</dc:description>
  <cp:lastModifiedBy>Un-named</cp:lastModifiedBy>
  <cp:revision>1</cp:revision>
  <dcterms:created xsi:type="dcterms:W3CDTF">2026-07-16T05:15:59.022Z</dcterms:created>
  <dcterms:modified xsi:type="dcterms:W3CDTF">2026-07-16T05:15:59.022Z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