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hd w:fill="2A2620" w:color="auto" w:val="clear"/>
        <w:spacing w:after="240" w:before="180"/>
        <w:ind w:left="431"/>
      </w:pPr>
      <w:r>
        <w:rPr>
          <w:rFonts w:ascii="Georgia" w:cs="Georgia" w:eastAsia="Georgia" w:hAnsi="Georgia"/>
          <w:b/>
          <w:bCs/>
          <w:i w:val="false"/>
          <w:iCs w:val="false"/>
          <w:color w:val="F5F1E6"/>
          <w:sz w:val="60"/>
          <w:szCs w:val="60"/>
        </w:rPr>
        <w:t xml:space="preserve">LUNAR INVESTMENTS</w:t>
      </w:r>
    </w:p>
    <w:p>
      <w:pPr>
        <w:shd w:fill="2A2620" w:color="auto" w:val="clear"/>
        <w:spacing w:after="108" w:before="78"/>
        <w:ind w:left="431"/>
      </w:pPr>
      <w:r>
        <w:rPr>
          <w:rFonts w:ascii="Georgia" w:cs="Georgia" w:eastAsia="Georgia" w:hAnsi="Georgia"/>
          <w:b/>
          <w:bCs/>
          <w:i/>
          <w:iCs/>
          <w:color w:val="B08D2A"/>
          <w:sz w:val="26"/>
          <w:szCs w:val="26"/>
        </w:rPr>
        <w:t xml:space="preserve">Equity Research · Investment Committee Memorandum</w:t>
      </w:r>
    </w:p>
    <w:p>
      <w:pPr>
        <w:shd w:fill="2A2620" w:color="auto" w:val="clear"/>
        <w:spacing w:after="298" w:before="78"/>
        <w:ind w:left="431"/>
      </w:pPr>
      <w:r>
        <w:rPr>
          <w:rFonts w:ascii="Georgia" w:cs="Georgia" w:eastAsia="Georgia" w:hAnsi="Georgia"/>
          <w:b w:val="false"/>
          <w:bCs w:val="false"/>
          <w:i w:val="false"/>
          <w:iCs w:val="false"/>
          <w:color w:val="F5F1E6"/>
          <w:sz w:val="26"/>
          <w:szCs w:val="26"/>
        </w:rPr>
        <w:t xml:space="preserve">Jahez International Company (Tadawul: 6017)</w:t>
      </w:r>
    </w:p>
    <w:p>
      <w:pPr>
        <w:spacing w:after="500"/>
      </w:pPr>
    </w:p>
    <w:p>
      <w:pPr>
        <w:spacing w:after="100"/>
        <w:jc w:val="center"/>
      </w:pPr>
      <w:r>
        <w:rPr>
          <w:rFonts w:ascii="Georgia" w:cs="Georgia" w:eastAsia="Georgia" w:hAnsi="Georgia"/>
          <w:b/>
          <w:bCs/>
          <w:color w:val="3E6B49"/>
          <w:sz w:val="80"/>
          <w:szCs w:val="80"/>
        </w:rPr>
        <w:t xml:space="preserve">BUY</w:t>
      </w:r>
    </w:p>
    <w:p>
      <w:pPr>
        <w:spacing w:after="360"/>
        <w:jc w:val="center"/>
      </w:pPr>
      <w:r>
        <w:rPr>
          <w:rFonts w:ascii="Arial" w:cs="Arial" w:eastAsia="Arial" w:hAnsi="Arial"/>
          <w:color w:val="514B40"/>
          <w:sz w:val="23"/>
          <w:szCs w:val="23"/>
        </w:rPr>
        <w:t xml:space="preserve">Target price SAR 14.36  ·  +12.3% vs SAR 12.79 close  ·  Base IRR 17.1%  ·  Weighted return 16.8% vs 15.0% hurdle</w:t>
      </w:r>
    </w:p>
    <w:p>
      <w:pPr>
        <w:pBdr>
          <w:top w:val="single" w:color="B08D2A" w:sz="6"/>
          <w:bottom w:val="single" w:color="B08D2A" w:sz="6"/>
        </w:pBdr>
        <w:spacing w:after="200" w:before="200"/>
        <w:jc w:val="center"/>
      </w:pPr>
      <w:r>
        <w:rPr>
          <w:rFonts w:ascii="Arial" w:cs="Arial" w:eastAsia="Arial" w:hAnsi="Arial"/>
          <w:i/>
          <w:iCs/>
          <w:color w:val="6B6455"/>
          <w:sz w:val="20"/>
          <w:szCs w:val="20"/>
        </w:rPr>
        <w:t xml:space="preserve">Advisory only, the investment decision rests with the Investment Committee.</w:t>
      </w:r>
    </w:p>
    <w:p>
      <w:pPr>
        <w:spacing w:before="320"/>
        <w:jc w:val="center"/>
      </w:pPr>
      <w:r>
        <w:rPr>
          <w:rFonts w:ascii="Arial" w:cs="Arial" w:eastAsia="Arial" w:hAnsi="Arial"/>
          <w:color w:val="6B6455"/>
          <w:sz w:val="19"/>
          <w:szCs w:val="19"/>
        </w:rPr>
        <w:t xml:space="preserve">Prepared by Faheem for Lunar Investments · 12 July 2026</w:t>
      </w:r>
    </w:p>
    <w:p>
      <w:pPr>
        <w:pageBreakBefore/>
      </w:pPr>
    </w:p>
    <w:p>
      <w:pPr>
        <w:pStyle w:val="Heading1"/>
        <w:pBdr>
          <w:bottom w:val="single" w:color="B08D2A" w:sz="10"/>
        </w:pBdr>
        <w:spacing w:after="140" w:before="420"/>
      </w:pPr>
      <w:r>
        <w:rPr>
          <w:rFonts w:ascii="Georgia" w:cs="Georgia" w:eastAsia="Georgia" w:hAnsi="Georgia"/>
          <w:b/>
          <w:bCs/>
          <w:color w:val="2A2620"/>
          <w:sz w:val="32"/>
          <w:szCs w:val="32"/>
        </w:rPr>
        <w:t xml:space="preserve">Executive Summary &amp; Recommendation</w:t>
      </w:r>
    </w:p>
    <w:tbl>
      <w:tblPr>
        <w:tblW w:type="pct" w:w="100%"/>
        <w:tblBorders>
          <w:top w:val="single" w:color="B7AF9C" w:sz="4"/>
          <w:left w:val="single" w:color="B7AF9C" w:sz="4"/>
          <w:bottom w:val="single" w:color="B7AF9C" w:sz="4"/>
          <w:right w:val="single" w:color="B7AF9C" w:sz="4"/>
          <w:insideH w:val="single" w:color="D8D2C4" w:sz="4"/>
          <w:insideV w:val="single" w:color="D8D2C4" w:sz="4"/>
        </w:tblBorders>
      </w:tblPr>
      <w:tblGrid>
        <w:gridCol w:w="100"/>
        <w:gridCol w:w="100"/>
        <w:gridCol w:w="100"/>
        <w:gridCol w:w="100"/>
        <w:gridCol w:w="100"/>
        <w:gridCol w:w="100"/>
        <w:gridCol w:w="100"/>
        <w:gridCol w:w="100"/>
        <w:gridCol w:w="100"/>
      </w:tblGrid>
      <w:tr>
        <w:trPr>
          <w:tblHeader/>
        </w:trPr>
        <w:tc>
          <w:tcPr>
            <w:tcW w:type="pct" w:w="9%"/>
            <w:shd w:fill="2A2620" w:color="auto" w:val="clear"/>
            <w:tcMar>
              <w:top w:type="dxa" w:w="70"/>
              <w:left w:type="dxa" w:w="110"/>
              <w:bottom w:type="dxa" w:w="70"/>
              <w:right w:type="dxa" w:w="110"/>
            </w:tcMar>
            <w:vAlign w:val="center"/>
          </w:tcPr>
          <w:p>
            <w:pPr>
              <w:jc w:val="left"/>
            </w:pPr>
            <w:r>
              <w:rPr>
                <w:rFonts w:ascii="Arial" w:cs="Arial" w:eastAsia="Arial" w:hAnsi="Arial"/>
                <w:b/>
                <w:bCs/>
                <w:color w:val="F5F1E6"/>
                <w:sz w:val="19"/>
                <w:szCs w:val="19"/>
              </w:rPr>
              <w:t xml:space="preserve">Rating</w:t>
            </w:r>
          </w:p>
        </w:tc>
        <w:tc>
          <w:tcPr>
            <w:tcW w:type="pct" w:w="12%"/>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Target price</w:t>
            </w:r>
          </w:p>
        </w:tc>
        <w:tc>
          <w:tcPr>
            <w:tcW w:type="pct" w:w="12%"/>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Current price</w:t>
            </w:r>
          </w:p>
        </w:tc>
        <w:tc>
          <w:tcPr>
            <w:tcW w:type="pct" w:w="9%"/>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Upside</w:t>
            </w:r>
          </w:p>
        </w:tc>
        <w:tc>
          <w:tcPr>
            <w:tcW w:type="pct" w:w="12%"/>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Base IRR (4y)</w:t>
            </w:r>
          </w:p>
        </w:tc>
        <w:tc>
          <w:tcPr>
            <w:tcW w:type="pct" w:w="11%"/>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Wtd. return</w:t>
            </w:r>
          </w:p>
        </w:tc>
        <w:tc>
          <w:tcPr>
            <w:tcW w:type="pct" w:w="9%"/>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Hurdle</w:t>
            </w:r>
          </w:p>
        </w:tc>
        <w:tc>
          <w:tcPr>
            <w:tcW w:type="pct" w:w="11%"/>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Risk score</w:t>
            </w:r>
          </w:p>
        </w:tc>
        <w:tc>
          <w:tcPr>
            <w:tcW w:type="pct" w:w="15%"/>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Compliance</w:t>
            </w:r>
          </w:p>
        </w:tc>
      </w:tr>
      <w:tr>
        <w:tc>
          <w:tcPr>
            <w:tcW w:type="pct" w:w="9%"/>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BUY</w:t>
            </w:r>
          </w:p>
        </w:tc>
        <w:tc>
          <w:tcPr>
            <w:tcW w:type="pct" w:w="12%"/>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SAR 14.36</w:t>
            </w:r>
          </w:p>
        </w:tc>
        <w:tc>
          <w:tcPr>
            <w:tcW w:type="pct" w:w="12%"/>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SAR 12.79</w:t>
            </w:r>
          </w:p>
        </w:tc>
        <w:tc>
          <w:tcPr>
            <w:tcW w:type="pct" w:w="9%"/>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+12.3%</w:t>
            </w:r>
          </w:p>
        </w:tc>
        <w:tc>
          <w:tcPr>
            <w:tcW w:type="pct" w:w="12%"/>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17.1%</w:t>
            </w:r>
          </w:p>
        </w:tc>
        <w:tc>
          <w:tcPr>
            <w:tcW w:type="pct" w:w="11%"/>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16.8%</w:t>
            </w:r>
          </w:p>
        </w:tc>
        <w:tc>
          <w:tcPr>
            <w:tcW w:type="pct" w:w="9%"/>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15.0%</w:t>
            </w:r>
          </w:p>
        </w:tc>
        <w:tc>
          <w:tcPr>
            <w:tcW w:type="pct" w:w="11%"/>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5.5 / 10</w:t>
            </w:r>
          </w:p>
        </w:tc>
        <w:tc>
          <w:tcPr>
            <w:tcW w:type="pct" w:w="15%"/>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PASS</w:t>
            </w:r>
          </w:p>
        </w:tc>
      </w:tr>
    </w:tbl>
    <w:p>
      <w:pPr>
        <w:spacing w:after="200" w:before="40"/>
      </w:pPr>
      <w:r>
        <w:rPr>
          <w:rFonts w:ascii="Arial" w:cs="Arial" w:eastAsia="Arial" w:hAnsi="Arial"/>
          <w:i/>
          <w:iCs/>
          <w:color w:val="6B6455"/>
          <w:sz w:val="17"/>
          <w:szCs w:val="17"/>
        </w:rPr>
        <w:t xml:space="preserve">Source: Faheem Valuation Model (DCF, Scenarios &amp; Risk, Compliance Screen tabs), see the workbook for the full formula chain.</w:t>
      </w:r>
    </w:p>
    <w:p>
      <w:pPr>
        <w:spacing w:after="160" w:line="264"/>
        <w:jc w:val="both"/>
      </w:pPr>
      <w:r>
        <w:rPr>
          <w:rFonts w:ascii="Arial" w:cs="Arial" w:eastAsia="Arial" w:hAnsi="Arial"/>
          <w:color w:val="2A2620"/>
          <w:sz w:val="21"/>
          <w:szCs w:val="21"/>
        </w:rPr>
        <w:t xml:space="preserve">Lunar Investments' Faheem valuation model rates Jahez International Company (Tadawul: 6017) BUY with a DCF-anchored target price of SAR 14.36 per share against a SAR 12.79 close, +12.3% implied upside, for a base-case 4-year IRR of 17.1%, comfortably inside the scenario-weighted expected return of 16.8% against Lunar's 15.0% mandate hurdle. The thesis rests on Jahez's transition from a single-platform KSA delivery app into a diversified quick-commerce and logistics group: FY2025 GMV of SAR 7,245.2m (+10.8% YoY) and net revenue of SAR 2,323.6m (+4.7% YoY) were delivered against a headline profit contraction, net income compressed 61.2% YoY to SAR 73.0m, driven by SAR 55.4m of Q4-2025 one-off items (Red Color impairment, Marn goodwill impairment, Others-segment ECL, Snoonu deal costs) layered on take-rate pressure from the Keeta-led price war, and Q1-2026 printed a SAR 9.2m net loss. Adjusted EBITDA margin contracted ~300 bps to 8.3% (FY2024A: 11.3%), and gross margin, the closest disclosed proxy for contribution margin per order, fell to 22.8% from 24.4%, both consistent with a business absorbing competitive intensity rather than one in structural decline. The compliance screen passes (6.01% debt/market-cap, 19.03% cash/market-cap, both under the 33% AAOIFI threshold) and the balance sheet carries SAR 16.6m of net cash. This memo is advisory: the Investment Committee decides.</w:t>
      </w:r>
    </w:p>
    <w:p>
      <w:pPr>
        <w:pStyle w:val="Heading1"/>
        <w:pBdr>
          <w:bottom w:val="single" w:color="B08D2A" w:sz="10"/>
        </w:pBdr>
        <w:spacing w:after="140" w:before="420"/>
      </w:pPr>
      <w:r>
        <w:rPr>
          <w:rFonts w:ascii="Georgia" w:cs="Georgia" w:eastAsia="Georgia" w:hAnsi="Georgia"/>
          <w:b/>
          <w:bCs/>
          <w:color w:val="2A2620"/>
          <w:sz w:val="32"/>
          <w:szCs w:val="32"/>
        </w:rPr>
        <w:t xml:space="preserve">Investment Thesis</w:t>
      </w:r>
    </w:p>
    <w:p>
      <w:pPr>
        <w:spacing w:after="90" w:before="220"/>
      </w:pPr>
      <w:r>
        <w:rPr>
          <w:rFonts w:ascii="Arial" w:cs="Arial" w:eastAsia="Arial" w:hAnsi="Arial"/>
          <w:b/>
          <w:bCs/>
          <w:color w:val="514B40"/>
          <w:sz w:val="24"/>
          <w:szCs w:val="24"/>
        </w:rPr>
        <w:t xml:space="preserve">1. Logistics diversification de-risks the single-platform delivery model</w:t>
      </w:r>
    </w:p>
    <w:p>
      <w:pPr>
        <w:spacing w:after="160" w:line="264"/>
        <w:jc w:val="both"/>
      </w:pPr>
      <w:r>
        <w:rPr>
          <w:rFonts w:ascii="Arial" w:cs="Arial" w:eastAsia="Arial" w:hAnsi="Arial"/>
          <w:color w:val="2A2620"/>
          <w:sz w:val="21"/>
          <w:szCs w:val="21"/>
        </w:rPr>
        <w:t xml:space="preserve">The Snoonu acquisition (Q4-2025 consolidation) is the strategic pivot: FY2025 Snoonu GMV of SAR 2,360.0m contributed SAR 626.8m to Group GMV from October, and delivered SAR 53.7m of profitable adjusted EBITDA in its own right, the Logistics segment reached SAR 428.8m of FY2025 net revenue. Group orders grew 5.3% YoY to 111.6m, and GMV 10.8% to SAR 7,245.2m, the platform is still winning volume even as the KSA delivery wars compress unit economics. Diversification beyond single-app KSA food delivery is the structural offset to the price-war risk quantified below.</w:t>
      </w:r>
    </w:p>
    <w:p>
      <w:pPr>
        <w:spacing w:after="90" w:before="220"/>
      </w:pPr>
      <w:r>
        <w:rPr>
          <w:rFonts w:ascii="Arial" w:cs="Arial" w:eastAsia="Arial" w:hAnsi="Arial"/>
          <w:b/>
          <w:bCs/>
          <w:color w:val="514B40"/>
          <w:sz w:val="24"/>
          <w:szCs w:val="24"/>
        </w:rPr>
        <w:t xml:space="preserve">2. Margin recovery is underway, not derailed, despite a headline loss-making quarter</w:t>
      </w:r>
    </w:p>
    <w:p>
      <w:pPr>
        <w:spacing w:after="160" w:line="264"/>
        <w:jc w:val="both"/>
      </w:pPr>
      <w:r>
        <w:rPr>
          <w:rFonts w:ascii="Arial" w:cs="Arial" w:eastAsia="Arial" w:hAnsi="Arial"/>
          <w:color w:val="2A2620"/>
          <w:sz w:val="21"/>
          <w:szCs w:val="21"/>
        </w:rPr>
        <w:t xml:space="preserve">FY2025 adjusted EBITDA of SAR 193.0m (8.3% margin) stepped down from FY2024A's SAR 250.0m (11.3%) almost entirely on the SAR 55.4m of identified Q4 one-offs, impairments and deal costs, not operating deterioration, and Q1-2026 adjusted EBITDA of SAR 43.6m shows the operating engine still generating positive cash profit through the net-loss quarter. The scenario-weighted return of 16.8% already prices in the risk that margin recovery slips, and it still clears the 15.0% hurdle.</w:t>
      </w:r>
    </w:p>
    <w:p>
      <w:pPr>
        <w:spacing w:after="90" w:before="220"/>
      </w:pPr>
      <w:r>
        <w:rPr>
          <w:rFonts w:ascii="Arial" w:cs="Arial" w:eastAsia="Arial" w:hAnsi="Arial"/>
          <w:b/>
          <w:bCs/>
          <w:color w:val="514B40"/>
          <w:sz w:val="24"/>
          <w:szCs w:val="24"/>
        </w:rPr>
        <w:t xml:space="preserve">3. A Compliance-compliant, asset-light, net-cash balance sheet fits the mandate cleanly</w:t>
      </w:r>
    </w:p>
    <w:p>
      <w:pPr>
        <w:spacing w:after="160" w:line="264"/>
        <w:jc w:val="both"/>
      </w:pPr>
      <w:r>
        <w:rPr>
          <w:rFonts w:ascii="Arial" w:cs="Arial" w:eastAsia="Arial" w:hAnsi="Arial"/>
          <w:color w:val="2A2620"/>
          <w:sz w:val="21"/>
          <w:szCs w:val="21"/>
        </w:rPr>
        <w:t xml:space="preserve">Jahez screens PASS on both AAOIFI-style ratios, interest-bearing debt at 6.01% of market cap and cash at 19.03%, both inside the 33% threshold, while carrying SAR 16.6m of net cash against SAR 161.2m of Islamic facilities and loans (Q1 2026 Financial Statements). The business model requires minimal fixed capital, and the Tadawul-listed public equity satisfies Lunar's liquidity requirement for the position (Lunar IC Charter, p.4).</w:t>
      </w:r>
    </w:p>
    <w:p>
      <w:pPr>
        <w:pStyle w:val="Heading1"/>
        <w:pBdr>
          <w:bottom w:val="single" w:color="B08D2A" w:sz="10"/>
        </w:pBdr>
        <w:spacing w:after="140" w:before="420"/>
      </w:pPr>
      <w:r>
        <w:rPr>
          <w:rFonts w:ascii="Georgia" w:cs="Georgia" w:eastAsia="Georgia" w:hAnsi="Georgia"/>
          <w:b/>
          <w:bCs/>
          <w:color w:val="2A2620"/>
          <w:sz w:val="32"/>
          <w:szCs w:val="32"/>
        </w:rPr>
        <w:t xml:space="preserve">Company &amp; Industry</w:t>
      </w:r>
    </w:p>
    <w:p>
      <w:pPr>
        <w:spacing w:after="160" w:line="264"/>
        <w:jc w:val="both"/>
      </w:pPr>
      <w:r>
        <w:rPr>
          <w:rFonts w:ascii="Arial" w:cs="Arial" w:eastAsia="Arial" w:hAnsi="Arial"/>
          <w:color w:val="2A2620"/>
          <w:sz w:val="21"/>
          <w:szCs w:val="21"/>
        </w:rPr>
        <w:t xml:space="preserve">Jahez operates in Saudi Arabia's quick-commerce and food-delivery market against HungerStation, the well-funded new entrant Keeta, and a wave of further well-capitalised players, Rabbit, the Ninja unicorn, and Dingdong, competing primarily on delivery-fee discounting rather than product differentiation (Industry &amp; News Pack · Saudi Quick-Commerce, p.2). The competitive response has been consolidation and diversification: Jahez's Q4-2025 acquisition of logistics platform Snoonu extends the group beyond single-vertical food delivery into broader last-mile logistics, a segment that posted SAR 428.8m of FY2025 net revenue. Group take rate rose to 15.4% in FY2025 from 14.6% in FY2024 even as GOV grew to SAR 9,259.6m, commission monetisation is holding up under pressure, though the price war (Industry &amp; News Pack, p.4) remains the dominant near-term swing factor for sector margins. This memo does not assert a specific market-share position for any player absent a disclosed source.</w:t>
      </w:r>
    </w:p>
    <w:p>
      <w:pPr>
        <w:pStyle w:val="Heading1"/>
        <w:pBdr>
          <w:bottom w:val="single" w:color="B08D2A" w:sz="10"/>
        </w:pBdr>
        <w:spacing w:after="140" w:before="420"/>
      </w:pPr>
      <w:r>
        <w:rPr>
          <w:rFonts w:ascii="Georgia" w:cs="Georgia" w:eastAsia="Georgia" w:hAnsi="Georgia"/>
          <w:b/>
          <w:bCs/>
          <w:color w:val="2A2620"/>
          <w:sz w:val="32"/>
          <w:szCs w:val="32"/>
        </w:rPr>
        <w:t xml:space="preserve">Financial Analysis</w:t>
      </w:r>
    </w:p>
    <w:p>
      <w:pPr>
        <w:spacing w:after="90" w:before="220"/>
      </w:pPr>
      <w:r>
        <w:rPr>
          <w:rFonts w:ascii="Arial" w:cs="Arial" w:eastAsia="Arial" w:hAnsi="Arial"/>
          <w:b/>
          <w:bCs/>
          <w:color w:val="514B40"/>
          <w:sz w:val="24"/>
          <w:szCs w:val="24"/>
        </w:rPr>
        <w:t xml:space="preserve">Unit economics</w:t>
      </w:r>
    </w:p>
    <w:p>
      <w:pPr>
        <w:spacing w:after="160" w:line="264"/>
        <w:jc w:val="both"/>
      </w:pPr>
      <w:r>
        <w:rPr>
          <w:rFonts w:ascii="Arial" w:cs="Arial" w:eastAsia="Arial" w:hAnsi="Arial"/>
          <w:color w:val="2A2620"/>
          <w:sz w:val="21"/>
          <w:szCs w:val="21"/>
        </w:rPr>
        <w:t xml:space="preserve">Orders grew from 84.8m (FY2023A) to 106.0m (FY2024A) to 111.6m (FY2025A, +5.3% YoY), against average order value of SAR 60.10, SAR 61.70 and SAR 64.90 respectively, GMV compounded from SAR 5,100.0m to SAR 6,541.9m to SAR 7,245.2m. Take rate (commission revenue / GMV) rose from 13.5% to 14.6% to 15.4%, lifting commission revenue to SAR 1,113.8m even as net revenue growth decelerated to +4.7%, the gap between a rising take rate and slowing net-revenue growth is the price-war signature: Jahez is monetising a larger share of a GMV base that is itself growing more slowly.</w:t>
      </w:r>
    </w:p>
    <w:tbl>
      <w:tblPr>
        <w:tblW w:type="pct" w:w="100%"/>
        <w:tblBorders>
          <w:top w:val="single" w:color="B7AF9C" w:sz="4"/>
          <w:left w:val="single" w:color="B7AF9C" w:sz="4"/>
          <w:bottom w:val="single" w:color="B7AF9C" w:sz="4"/>
          <w:right w:val="single" w:color="B7AF9C" w:sz="4"/>
          <w:insideH w:val="single" w:color="D8D2C4" w:sz="4"/>
          <w:insideV w:val="single" w:color="D8D2C4" w:sz="4"/>
        </w:tblBorders>
      </w:tblPr>
      <w:tblGrid>
        <w:gridCol w:w="100"/>
        <w:gridCol w:w="100"/>
        <w:gridCol w:w="100"/>
        <w:gridCol w:w="100"/>
      </w:tblGrid>
      <w:tr>
        <w:trPr>
          <w:tblHeader/>
        </w:trPr>
        <w:tc>
          <w:tcPr>
            <w:tcW w:type="pct" w:w="30%"/>
            <w:shd w:fill="2A2620" w:color="auto" w:val="clear"/>
            <w:tcMar>
              <w:top w:type="dxa" w:w="70"/>
              <w:left w:type="dxa" w:w="110"/>
              <w:bottom w:type="dxa" w:w="70"/>
              <w:right w:type="dxa" w:w="110"/>
            </w:tcMar>
            <w:vAlign w:val="center"/>
          </w:tcPr>
          <w:p>
            <w:pPr>
              <w:jc w:val="left"/>
            </w:pPr>
            <w:r>
              <w:rPr>
                <w:rFonts w:ascii="Arial" w:cs="Arial" w:eastAsia="Arial" w:hAnsi="Arial"/>
                <w:b/>
                <w:bCs/>
                <w:color w:val="F5F1E6"/>
                <w:sz w:val="19"/>
                <w:szCs w:val="19"/>
              </w:rPr>
              <w:t xml:space="preserve">Metric</w:t>
            </w:r>
          </w:p>
        </w:tc>
        <w:tc>
          <w:tcPr>
            <w:tcW w:type="pct" w:w="23%"/>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FY23A</w:t>
            </w:r>
          </w:p>
        </w:tc>
        <w:tc>
          <w:tcPr>
            <w:tcW w:type="pct" w:w="23%"/>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FY24A</w:t>
            </w:r>
          </w:p>
        </w:tc>
        <w:tc>
          <w:tcPr>
            <w:tcW w:type="pct" w:w="24%"/>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FY25A</w:t>
            </w:r>
          </w:p>
        </w:tc>
      </w:tr>
      <w:tr>
        <w:tc>
          <w:tcPr>
            <w:tcW w:type="pct" w:w="3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Orders (m)</w:t>
            </w:r>
          </w:p>
        </w:tc>
        <w:tc>
          <w:tcPr>
            <w:tcW w:type="pct" w:w="23%"/>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84.8</w:t>
            </w:r>
          </w:p>
        </w:tc>
        <w:tc>
          <w:tcPr>
            <w:tcW w:type="pct" w:w="23%"/>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106.0</w:t>
            </w:r>
          </w:p>
        </w:tc>
        <w:tc>
          <w:tcPr>
            <w:tcW w:type="pct" w:w="24%"/>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111.6</w:t>
            </w:r>
          </w:p>
        </w:tc>
      </w:tr>
      <w:tr>
        <w:tc>
          <w:tcPr>
            <w:tcW w:type="pct" w:w="3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AOV (SAR)</w:t>
            </w:r>
          </w:p>
        </w:tc>
        <w:tc>
          <w:tcPr>
            <w:tcW w:type="pct" w:w="23%"/>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60.10</w:t>
            </w:r>
          </w:p>
        </w:tc>
        <w:tc>
          <w:tcPr>
            <w:tcW w:type="pct" w:w="23%"/>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61.70</w:t>
            </w:r>
          </w:p>
        </w:tc>
        <w:tc>
          <w:tcPr>
            <w:tcW w:type="pct" w:w="24%"/>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64.90</w:t>
            </w:r>
          </w:p>
        </w:tc>
      </w:tr>
      <w:tr>
        <w:tc>
          <w:tcPr>
            <w:tcW w:type="pct" w:w="3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GMV (SAR m)</w:t>
            </w:r>
          </w:p>
        </w:tc>
        <w:tc>
          <w:tcPr>
            <w:tcW w:type="pct" w:w="23%"/>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5,100.0</w:t>
            </w:r>
          </w:p>
        </w:tc>
        <w:tc>
          <w:tcPr>
            <w:tcW w:type="pct" w:w="23%"/>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6,541.9</w:t>
            </w:r>
          </w:p>
        </w:tc>
        <w:tc>
          <w:tcPr>
            <w:tcW w:type="pct" w:w="24%"/>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7,245.2</w:t>
            </w:r>
          </w:p>
        </w:tc>
      </w:tr>
      <w:tr>
        <w:tc>
          <w:tcPr>
            <w:tcW w:type="pct" w:w="3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Take rate</w:t>
            </w:r>
          </w:p>
        </w:tc>
        <w:tc>
          <w:tcPr>
            <w:tcW w:type="pct" w:w="23%"/>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13.5%</w:t>
            </w:r>
          </w:p>
        </w:tc>
        <w:tc>
          <w:tcPr>
            <w:tcW w:type="pct" w:w="23%"/>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14.6%</w:t>
            </w:r>
          </w:p>
        </w:tc>
        <w:tc>
          <w:tcPr>
            <w:tcW w:type="pct" w:w="24%"/>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15.4%</w:t>
            </w:r>
          </w:p>
        </w:tc>
      </w:tr>
      <w:tr>
        <w:tc>
          <w:tcPr>
            <w:tcW w:type="pct" w:w="3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Net revenue (SAR m)</w:t>
            </w:r>
          </w:p>
        </w:tc>
        <w:tc>
          <w:tcPr>
            <w:tcW w:type="pct" w:w="23%"/>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1,784.8</w:t>
            </w:r>
          </w:p>
        </w:tc>
        <w:tc>
          <w:tcPr>
            <w:tcW w:type="pct" w:w="23%"/>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2,218.7</w:t>
            </w:r>
          </w:p>
        </w:tc>
        <w:tc>
          <w:tcPr>
            <w:tcW w:type="pct" w:w="24%"/>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2,323.6</w:t>
            </w:r>
          </w:p>
        </w:tc>
      </w:tr>
      <w:tr>
        <w:tc>
          <w:tcPr>
            <w:tcW w:type="pct" w:w="3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Adj. EBITDA (SAR m)</w:t>
            </w:r>
          </w:p>
        </w:tc>
        <w:tc>
          <w:tcPr>
            <w:tcW w:type="pct" w:w="23%"/>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181.3</w:t>
            </w:r>
          </w:p>
        </w:tc>
        <w:tc>
          <w:tcPr>
            <w:tcW w:type="pct" w:w="23%"/>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250.0</w:t>
            </w:r>
          </w:p>
        </w:tc>
        <w:tc>
          <w:tcPr>
            <w:tcW w:type="pct" w:w="24%"/>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193.0</w:t>
            </w:r>
          </w:p>
        </w:tc>
      </w:tr>
    </w:tbl>
    <w:p>
      <w:pPr>
        <w:spacing w:after="200" w:before="40"/>
      </w:pPr>
      <w:r>
        <w:rPr>
          <w:rFonts w:ascii="Arial" w:cs="Arial" w:eastAsia="Arial" w:hAnsi="Arial"/>
          <w:i/>
          <w:iCs/>
          <w:color w:val="6B6455"/>
          <w:sz w:val="17"/>
          <w:szCs w:val="17"/>
        </w:rPr>
        <w:t xml:space="preserve">Source: Annual Report 2024, p.5, p.24; Q4 2025 Earnings Results, p.4.</w:t>
      </w:r>
    </w:p>
    <w:p>
      <w:pPr>
        <w:spacing w:after="90" w:before="220"/>
      </w:pPr>
      <w:r>
        <w:rPr>
          <w:rFonts w:ascii="Arial" w:cs="Arial" w:eastAsia="Arial" w:hAnsi="Arial"/>
          <w:b/>
          <w:bCs/>
          <w:color w:val="514B40"/>
          <w:sz w:val="24"/>
          <w:szCs w:val="24"/>
        </w:rPr>
        <w:t xml:space="preserve">Operating leverage</w:t>
      </w:r>
    </w:p>
    <w:p>
      <w:pPr>
        <w:spacing w:after="160" w:line="264"/>
        <w:jc w:val="both"/>
      </w:pPr>
      <w:r>
        <w:rPr>
          <w:rFonts w:ascii="Arial" w:cs="Arial" w:eastAsia="Arial" w:hAnsi="Arial"/>
          <w:color w:val="2A2620"/>
          <w:sz w:val="21"/>
          <w:szCs w:val="21"/>
        </w:rPr>
        <w:t xml:space="preserve">Operating leverage cuts both ways in this print. FY2024A's adjusted EBITDA margin of 11.3% on SAR 2,218.7m of net revenue gave way to 8.3% on SAR 2,323.6m in FY2025A, a ~300 bps contraction, as depreciation &amp; amortisation grew faster than revenue (SAR 51.0m to SAR 89.4m, reflecting the expanding IFRS-16 right-of-use base) and the SAR 55.4m of one-offs hit the P&amp;L below the EBITDA line. Segment detail shows the KSA delivery platform still carrying the group: KSA adjusted EBITDA of SAR 208.8m on SAR 1,761.0m of net revenue, while Non-KSA, Logistics and Others remain sub-scale or loss-making. The operating-leverage thesis is that fixed platform and logistics costs, once absorbed, let incremental GMV drop through at a materially higher margin than the FY2025A print, which is why the forecast rebuilds margin toward the FY2024A level by the terminal year rather than assuming a permanent step-down.</w:t>
      </w:r>
    </w:p>
    <w:p>
      <w:pPr>
        <w:spacing w:after="90" w:before="220"/>
      </w:pPr>
      <w:r>
        <w:rPr>
          <w:rFonts w:ascii="Arial" w:cs="Arial" w:eastAsia="Arial" w:hAnsi="Arial"/>
          <w:b/>
          <w:bCs/>
          <w:color w:val="514B40"/>
          <w:sz w:val="24"/>
          <w:szCs w:val="24"/>
        </w:rPr>
        <w:t xml:space="preserve">Free cash flow profile</w:t>
      </w:r>
    </w:p>
    <w:p>
      <w:pPr>
        <w:spacing w:after="160" w:line="264"/>
        <w:jc w:val="both"/>
      </w:pPr>
      <w:r>
        <w:rPr>
          <w:rFonts w:ascii="Arial" w:cs="Arial" w:eastAsia="Arial" w:hAnsi="Arial"/>
          <w:color w:val="2A2620"/>
          <w:sz w:val="21"/>
          <w:szCs w:val="21"/>
        </w:rPr>
        <w:t xml:space="preserve">Free cash flow to the firm is forecast-only in this model, FY2023A-FY2025A capex is not separately disclosed, so no actual-year FCFF feeds the DCF (capex and ΔNWC are documented analyst assumptions; see workbook Assumptions tab). On the explicit forecast, FCFF builds from a depressed FY2026E base as EBITDA margin recovers on the path described above, discounted at a WACC of 13.3% with a 3.0% terminal growth rate. The DCF sums the explicit-period present value plus a Gordon terminal value into an enterprise value that, net of SAR 16.6m of net cash, implies SAR 14.36 per share; full year-by-year FCFF detail is in the workbook's DCF tab.</w:t>
      </w:r>
    </w:p>
    <w:p>
      <w:pPr>
        <w:pStyle w:val="Heading1"/>
        <w:pBdr>
          <w:bottom w:val="single" w:color="B08D2A" w:sz="10"/>
        </w:pBdr>
        <w:spacing w:after="140" w:before="420"/>
      </w:pPr>
      <w:r>
        <w:rPr>
          <w:rFonts w:ascii="Georgia" w:cs="Georgia" w:eastAsia="Georgia" w:hAnsi="Georgia"/>
          <w:b/>
          <w:bCs/>
          <w:color w:val="2A2620"/>
          <w:sz w:val="32"/>
          <w:szCs w:val="32"/>
        </w:rPr>
        <w:t xml:space="preserve">Valuation</w:t>
      </w:r>
    </w:p>
    <w:p>
      <w:pPr>
        <w:spacing w:after="160" w:line="264"/>
        <w:jc w:val="both"/>
      </w:pPr>
      <w:r>
        <w:rPr>
          <w:rFonts w:ascii="Arial" w:cs="Arial" w:eastAsia="Arial" w:hAnsi="Arial"/>
          <w:color w:val="2A2620"/>
          <w:sz w:val="21"/>
          <w:szCs w:val="21"/>
        </w:rPr>
        <w:t xml:space="preserve">The DCF (FCFF, WACC built bottom-up from a 4.6% Saudi risk-free rate plus a 1.82x comp-set beta at a 5.0% equity risk premium, giving a 13.7% cost of equity and a 13.3% WACC) anchors the base case at SAR 14.36 per share against Gordon terminal growth of 3.0%, +12.3% above the SAR 12.79 close. Trading-comps triangulation (EV/Revenue, EV/EBITDA and P/E across Talabat, DoorDash and Delivery Hero, Market Data &amp; Comparables Snapshot, p.4) spans a wide SAR 5.81 to SAR 61.32 implied-value field (median SAR 24.36), reflecting the gap between Jahez's KSA-scale multiples and the richly-priced US growth comps; the DCF sits toward the lower half of that range, anchored to Jahez's own projected cash flows rather than borrowed US multiples, and is the primary valuation methodology this memo relies on. Scenario-weighted value per share of SAR 14.50 (25% bull at SAR 19.24, 50% base, 25% bear at SAR 10.03) confirms the base case is not a knife-edge result, the 16.8% probability-weighted expected return clears Lunar's 15.0% hurdle with room.</w:t>
      </w:r>
    </w:p>
    <w:tbl>
      <w:tblPr>
        <w:tblW w:type="pct" w:w="100%"/>
        <w:tblBorders>
          <w:top w:val="single" w:color="B7AF9C" w:sz="4"/>
          <w:left w:val="single" w:color="B7AF9C" w:sz="4"/>
          <w:bottom w:val="single" w:color="B7AF9C" w:sz="4"/>
          <w:right w:val="single" w:color="B7AF9C" w:sz="4"/>
          <w:insideH w:val="single" w:color="D8D2C4" w:sz="4"/>
          <w:insideV w:val="single" w:color="D8D2C4" w:sz="4"/>
        </w:tblBorders>
      </w:tblPr>
      <w:tblGrid>
        <w:gridCol w:w="100"/>
        <w:gridCol w:w="100"/>
        <w:gridCol w:w="100"/>
        <w:gridCol w:w="100"/>
        <w:gridCol w:w="100"/>
      </w:tblGrid>
      <w:tr>
        <w:trPr>
          <w:tblHeader/>
        </w:trPr>
        <w:tc>
          <w:tcPr>
            <w:tcW w:type="pct" w:w="30%"/>
            <w:shd w:fill="2A2620" w:color="auto" w:val="clear"/>
            <w:tcMar>
              <w:top w:type="dxa" w:w="70"/>
              <w:left w:type="dxa" w:w="110"/>
              <w:bottom w:type="dxa" w:w="70"/>
              <w:right w:type="dxa" w:w="110"/>
            </w:tcMar>
            <w:vAlign w:val="center"/>
          </w:tcPr>
          <w:p>
            <w:pPr>
              <w:jc w:val="left"/>
            </w:pPr>
            <w:r>
              <w:rPr>
                <w:rFonts w:ascii="Arial" w:cs="Arial" w:eastAsia="Arial" w:hAnsi="Arial"/>
                <w:b/>
                <w:bCs/>
                <w:color w:val="F5F1E6"/>
                <w:sz w:val="19"/>
                <w:szCs w:val="19"/>
              </w:rPr>
              <w:t xml:space="preserve">Scenario</w:t>
            </w:r>
          </w:p>
        </w:tc>
        <w:tc>
          <w:tcPr>
            <w:tcW w:type="pct" w:w="18%"/>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Terminal growth</w:t>
            </w:r>
          </w:p>
        </w:tc>
        <w:tc>
          <w:tcPr>
            <w:tcW w:type="pct" w:w="18%"/>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Value / share</w:t>
            </w:r>
          </w:p>
        </w:tc>
        <w:tc>
          <w:tcPr>
            <w:tcW w:type="pct" w:w="18%"/>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Upside / (downside)</w:t>
            </w:r>
          </w:p>
        </w:tc>
        <w:tc>
          <w:tcPr>
            <w:tcW w:type="pct" w:w="16%"/>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IRR (4y)</w:t>
            </w:r>
          </w:p>
        </w:tc>
      </w:tr>
      <w:tr>
        <w:tc>
          <w:tcPr>
            <w:tcW w:type="pct" w:w="3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Bear (25%)</w:t>
            </w:r>
          </w:p>
        </w:tc>
        <w:tc>
          <w:tcPr>
            <w:tcW w:type="pct" w:w="1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2.5%</w:t>
            </w:r>
          </w:p>
        </w:tc>
        <w:tc>
          <w:tcPr>
            <w:tcW w:type="pct" w:w="1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SAR 10.03</w:t>
            </w:r>
          </w:p>
        </w:tc>
        <w:tc>
          <w:tcPr>
            <w:tcW w:type="pct" w:w="1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-21.6%</w:t>
            </w:r>
          </w:p>
        </w:tc>
        <w:tc>
          <w:tcPr>
            <w:tcW w:type="pct" w:w="1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7.0%</w:t>
            </w:r>
          </w:p>
        </w:tc>
      </w:tr>
      <w:tr>
        <w:tc>
          <w:tcPr>
            <w:tcW w:type="pct" w:w="3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Base (50%)</w:t>
            </w:r>
          </w:p>
        </w:tc>
        <w:tc>
          <w:tcPr>
            <w:tcW w:type="pct" w:w="1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3.0%</w:t>
            </w:r>
          </w:p>
        </w:tc>
        <w:tc>
          <w:tcPr>
            <w:tcW w:type="pct" w:w="1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SAR 14.36</w:t>
            </w:r>
          </w:p>
        </w:tc>
        <w:tc>
          <w:tcPr>
            <w:tcW w:type="pct" w:w="1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+12.3%</w:t>
            </w:r>
          </w:p>
        </w:tc>
        <w:tc>
          <w:tcPr>
            <w:tcW w:type="pct" w:w="1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17.1%</w:t>
            </w:r>
          </w:p>
        </w:tc>
      </w:tr>
      <w:tr>
        <w:tc>
          <w:tcPr>
            <w:tcW w:type="pct" w:w="3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Bull (25%)</w:t>
            </w:r>
          </w:p>
        </w:tc>
        <w:tc>
          <w:tcPr>
            <w:tcW w:type="pct" w:w="1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3.5%</w:t>
            </w:r>
          </w:p>
        </w:tc>
        <w:tc>
          <w:tcPr>
            <w:tcW w:type="pct" w:w="1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SAR 19.24</w:t>
            </w:r>
          </w:p>
        </w:tc>
        <w:tc>
          <w:tcPr>
            <w:tcW w:type="pct" w:w="1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+50.4%</w:t>
            </w:r>
          </w:p>
        </w:tc>
        <w:tc>
          <w:tcPr>
            <w:tcW w:type="pct" w:w="1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25.9%</w:t>
            </w:r>
          </w:p>
        </w:tc>
      </w:tr>
      <w:tr>
        <w:tc>
          <w:tcPr>
            <w:tcW w:type="pct" w:w="3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Probability-weighted</w:t>
            </w:r>
          </w:p>
        </w:tc>
        <w:tc>
          <w:tcPr>
            <w:tcW w:type="pct" w:w="1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w:t>
            </w:r>
          </w:p>
        </w:tc>
        <w:tc>
          <w:tcPr>
            <w:tcW w:type="pct" w:w="1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SAR 14.50</w:t>
            </w:r>
          </w:p>
        </w:tc>
        <w:tc>
          <w:tcPr>
            <w:tcW w:type="pct" w:w="1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w:t>
            </w:r>
          </w:p>
        </w:tc>
        <w:tc>
          <w:tcPr>
            <w:tcW w:type="pct" w:w="1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16.8%</w:t>
            </w:r>
          </w:p>
        </w:tc>
      </w:tr>
    </w:tbl>
    <w:p>
      <w:pPr>
        <w:spacing w:after="200" w:before="40"/>
      </w:pPr>
      <w:r>
        <w:rPr>
          <w:rFonts w:ascii="Arial" w:cs="Arial" w:eastAsia="Arial" w:hAnsi="Arial"/>
          <w:i/>
          <w:iCs/>
          <w:color w:val="6B6455"/>
          <w:sz w:val="17"/>
          <w:szCs w:val="17"/>
        </w:rPr>
        <w:t xml:space="preserve">Source: Faheem Valuation Model, DCF tab (WACC 13.3%, cost of equity 13.7%); Market Data &amp; Comparables Snapshot, p.2-4.</w:t>
      </w:r>
    </w:p>
    <w:p>
      <w:pPr>
        <w:pStyle w:val="Heading1"/>
        <w:pBdr>
          <w:bottom w:val="single" w:color="B08D2A" w:sz="10"/>
        </w:pBdr>
        <w:spacing w:after="140" w:before="420"/>
      </w:pPr>
      <w:r>
        <w:rPr>
          <w:rFonts w:ascii="Georgia" w:cs="Georgia" w:eastAsia="Georgia" w:hAnsi="Georgia"/>
          <w:b/>
          <w:bCs/>
          <w:color w:val="2A2620"/>
          <w:sz w:val="32"/>
          <w:szCs w:val="32"/>
        </w:rPr>
        <w:t xml:space="preserve">Quantified Risk Assessment</w:t>
      </w:r>
    </w:p>
    <w:p>
      <w:pPr>
        <w:spacing w:after="160" w:line="264"/>
        <w:jc w:val="both"/>
      </w:pPr>
      <w:r>
        <w:rPr>
          <w:rFonts w:ascii="Arial" w:cs="Arial" w:eastAsia="Arial" w:hAnsi="Arial"/>
          <w:color w:val="2A2620"/>
          <w:sz w:val="21"/>
          <w:szCs w:val="21"/>
        </w:rPr>
        <w:t xml:space="preserve">The quantified risk register below scores each identified risk on a 1-5 probability x 1-5 impact basis, rolling up to a composite, peak-weighted score of 5.5 out of 10. The dominant risk is price-war margin compression from Keeta's well-funded discounting, the same dynamic already visible in the 300 bps FY2025A EBITDA-margin contraction and the SAR 9.2m Q1-2026A net loss, followed by the arrival of further well-capitalised entrants. Both are structural, sector-wide pressures rather than Jahez-specific execution failures, and both are explicitly reflected in the bear-case scenario (7.0% IRR, SAR 10.03 per share) rather than assumed away.</w:t>
      </w:r>
    </w:p>
    <w:tbl>
      <w:tblPr>
        <w:tblW w:type="pct" w:w="100%"/>
        <w:tblBorders>
          <w:top w:val="single" w:color="B7AF9C" w:sz="4"/>
          <w:left w:val="single" w:color="B7AF9C" w:sz="4"/>
          <w:bottom w:val="single" w:color="B7AF9C" w:sz="4"/>
          <w:right w:val="single" w:color="B7AF9C" w:sz="4"/>
          <w:insideH w:val="single" w:color="D8D2C4" w:sz="4"/>
          <w:insideV w:val="single" w:color="D8D2C4" w:sz="4"/>
        </w:tblBorders>
      </w:tblPr>
      <w:tblGrid>
        <w:gridCol w:w="100"/>
        <w:gridCol w:w="100"/>
        <w:gridCol w:w="100"/>
        <w:gridCol w:w="100"/>
        <w:gridCol w:w="100"/>
        <w:gridCol w:w="100"/>
      </w:tblGrid>
      <w:tr>
        <w:trPr>
          <w:tblHeader/>
        </w:trPr>
        <w:tc>
          <w:tcPr>
            <w:tcW w:type="pct" w:w="26%"/>
            <w:shd w:fill="2A2620" w:color="auto" w:val="clear"/>
            <w:tcMar>
              <w:top w:type="dxa" w:w="70"/>
              <w:left w:type="dxa" w:w="110"/>
              <w:bottom w:type="dxa" w:w="70"/>
              <w:right w:type="dxa" w:w="110"/>
            </w:tcMar>
            <w:vAlign w:val="center"/>
          </w:tcPr>
          <w:p>
            <w:pPr>
              <w:jc w:val="left"/>
            </w:pPr>
            <w:r>
              <w:rPr>
                <w:rFonts w:ascii="Arial" w:cs="Arial" w:eastAsia="Arial" w:hAnsi="Arial"/>
                <w:b/>
                <w:bCs/>
                <w:color w:val="F5F1E6"/>
                <w:sz w:val="19"/>
                <w:szCs w:val="19"/>
              </w:rPr>
              <w:t xml:space="preserve">Risk</w:t>
            </w:r>
          </w:p>
        </w:tc>
        <w:tc>
          <w:tcPr>
            <w:tcW w:type="pct" w:w="6%"/>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P</w:t>
            </w:r>
          </w:p>
        </w:tc>
        <w:tc>
          <w:tcPr>
            <w:tcW w:type="pct" w:w="6%"/>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I</w:t>
            </w:r>
          </w:p>
        </w:tc>
        <w:tc>
          <w:tcPr>
            <w:tcW w:type="pct" w:w="8%"/>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Score</w:t>
            </w:r>
          </w:p>
        </w:tc>
        <w:tc>
          <w:tcPr>
            <w:tcW w:type="pct" w:w="34%"/>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Mitigation</w:t>
            </w:r>
          </w:p>
        </w:tc>
        <w:tc>
          <w:tcPr>
            <w:tcW w:type="pct" w:w="20%"/>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Cite</w:t>
            </w:r>
          </w:p>
        </w:tc>
      </w:tr>
      <w:tr>
        <w:tc>
          <w:tcPr>
            <w:tcW w:type="pct" w:w="26%"/>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Price-war margin compression (Keeta/Meituan-funded discounting)</w:t>
            </w:r>
          </w:p>
        </w:tc>
        <w:tc>
          <w:tcPr>
            <w:tcW w:type="pct" w:w="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4</w:t>
            </w:r>
          </w:p>
        </w:tc>
        <w:tc>
          <w:tcPr>
            <w:tcW w:type="pct" w:w="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4</w:t>
            </w:r>
          </w:p>
        </w:tc>
        <w:tc>
          <w:tcPr>
            <w:tcW w:type="pct" w:w="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16</w:t>
            </w:r>
          </w:p>
        </w:tc>
        <w:tc>
          <w:tcPr>
            <w:tcW w:type="pct" w:w="34%"/>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Shift to cost discipline &amp; logistics mix; monitor take-rate and contribution margin per order</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industry-news-pack p.2, p.4</w:t>
            </w:r>
          </w:p>
        </w:tc>
      </w:tr>
      <w:tr>
        <w:tc>
          <w:tcPr>
            <w:tcW w:type="pct" w:w="26%"/>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Well-capitalised new entrants (Rabbit, Ninja unicorn, Dingdong)</w:t>
            </w:r>
          </w:p>
        </w:tc>
        <w:tc>
          <w:tcPr>
            <w:tcW w:type="pct" w:w="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4</w:t>
            </w:r>
          </w:p>
        </w:tc>
        <w:tc>
          <w:tcPr>
            <w:tcW w:type="pct" w:w="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w:t>
            </w:r>
          </w:p>
        </w:tc>
        <w:tc>
          <w:tcPr>
            <w:tcW w:type="pct" w:w="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12</w:t>
            </w:r>
          </w:p>
        </w:tc>
        <w:tc>
          <w:tcPr>
            <w:tcW w:type="pct" w:w="34%"/>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Scale &amp; fulfilment-density moat; Snoonu regional expansion</w:t>
            </w:r>
          </w:p>
        </w:tc>
        <w:tc>
          <w:tcPr>
            <w:tcW w:type="pct" w:w="2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industry-news-pack p.2</w:t>
            </w:r>
          </w:p>
        </w:tc>
      </w:tr>
      <w:tr>
        <w:tc>
          <w:tcPr>
            <w:tcW w:type="pct" w:w="26%"/>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Earnings volatility / one-offs (SAR 55m Q4-25; Q1-26 net loss)</w:t>
            </w:r>
          </w:p>
        </w:tc>
        <w:tc>
          <w:tcPr>
            <w:tcW w:type="pct" w:w="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w:t>
            </w:r>
          </w:p>
        </w:tc>
        <w:tc>
          <w:tcPr>
            <w:tcW w:type="pct" w:w="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w:t>
            </w:r>
          </w:p>
        </w:tc>
        <w:tc>
          <w:tcPr>
            <w:tcW w:type="pct" w:w="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9</w:t>
            </w:r>
          </w:p>
        </w:tc>
        <w:tc>
          <w:tcPr>
            <w:tcW w:type="pct" w:w="34%"/>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One-offs largely non-recurring; H2-2026 profitability guidance</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industry-news-pack p.4; fy25-earnings-call p.6</w:t>
            </w:r>
          </w:p>
        </w:tc>
      </w:tr>
      <w:tr>
        <w:tc>
          <w:tcPr>
            <w:tcW w:type="pct" w:w="26%"/>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Snoonu integration / near-term margin dilution</w:t>
            </w:r>
          </w:p>
        </w:tc>
        <w:tc>
          <w:tcPr>
            <w:tcW w:type="pct" w:w="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w:t>
            </w:r>
          </w:p>
        </w:tc>
        <w:tc>
          <w:tcPr>
            <w:tcW w:type="pct" w:w="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w:t>
            </w:r>
          </w:p>
        </w:tc>
        <w:tc>
          <w:tcPr>
            <w:tcW w:type="pct" w:w="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9</w:t>
            </w:r>
          </w:p>
        </w:tc>
        <w:tc>
          <w:tcPr>
            <w:tcW w:type="pct" w:w="34%"/>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Snoonu FY25 adj. EBITDA +53.7m (profitable), accretive at scale</w:t>
            </w:r>
          </w:p>
        </w:tc>
        <w:tc>
          <w:tcPr>
            <w:tcW w:type="pct" w:w="2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fy25-er p.6</w:t>
            </w:r>
          </w:p>
        </w:tc>
      </w:tr>
      <w:tr>
        <w:tc>
          <w:tcPr>
            <w:tcW w:type="pct" w:w="26%"/>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Valuation-data ambiguity (203m vs 217m shares; 92.8x trailing P/E)</w:t>
            </w:r>
          </w:p>
        </w:tc>
        <w:tc>
          <w:tcPr>
            <w:tcW w:type="pct" w:w="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w:t>
            </w:r>
          </w:p>
        </w:tc>
        <w:tc>
          <w:tcPr>
            <w:tcW w:type="pct" w:w="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2</w:t>
            </w:r>
          </w:p>
        </w:tc>
        <w:tc>
          <w:tcPr>
            <w:tcW w:type="pct" w:w="8%"/>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4</w:t>
            </w:r>
          </w:p>
        </w:tc>
        <w:tc>
          <w:tcPr>
            <w:tcW w:type="pct" w:w="34%"/>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Reconcile Tadawul share register; use normalised/forward multiples</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market-data-comps p.2</w:t>
            </w:r>
          </w:p>
        </w:tc>
      </w:tr>
      <w:tr>
        <w:tc>
          <w:tcPr>
            <w:tcW w:type="pct" w:w="26%"/>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WACC / terminal-value sensitivity (value ∝ WACC−g spread)</w:t>
            </w:r>
          </w:p>
        </w:tc>
        <w:tc>
          <w:tcPr>
            <w:tcW w:type="pct" w:w="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w:t>
            </w:r>
          </w:p>
        </w:tc>
        <w:tc>
          <w:tcPr>
            <w:tcW w:type="pct" w:w="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4</w:t>
            </w:r>
          </w:p>
        </w:tc>
        <w:tc>
          <w:tcPr>
            <w:tcW w:type="pct" w:w="8%"/>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12</w:t>
            </w:r>
          </w:p>
        </w:tc>
        <w:tc>
          <w:tcPr>
            <w:tcW w:type="pct" w:w="34%"/>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Sensitivity grid; conservative g=3.0%; bottom-up beta as next step</w:t>
            </w:r>
          </w:p>
        </w:tc>
        <w:tc>
          <w:tcPr>
            <w:tcW w:type="pct" w:w="2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Sensitivity tab; Assumptions</w:t>
            </w:r>
          </w:p>
        </w:tc>
      </w:tr>
    </w:tbl>
    <w:p>
      <w:pPr>
        <w:spacing w:after="200" w:before="40"/>
      </w:pPr>
      <w:r>
        <w:rPr>
          <w:rFonts w:ascii="Arial" w:cs="Arial" w:eastAsia="Arial" w:hAnsi="Arial"/>
          <w:i/>
          <w:iCs/>
          <w:color w:val="6B6455"/>
          <w:sz w:val="17"/>
          <w:szCs w:val="17"/>
        </w:rPr>
        <w:t xml:space="preserve">Composite risk score (peak-weighted, 0-10): 5.5.</w:t>
      </w:r>
    </w:p>
    <w:p>
      <w:pPr>
        <w:spacing w:after="90" w:before="220"/>
      </w:pPr>
      <w:r>
        <w:rPr>
          <w:rFonts w:ascii="Arial" w:cs="Arial" w:eastAsia="Arial" w:hAnsi="Arial"/>
          <w:b/>
          <w:bCs/>
          <w:color w:val="514B40"/>
          <w:sz w:val="24"/>
          <w:szCs w:val="24"/>
        </w:rPr>
        <w:t xml:space="preserve">Mandate-fit check</w:t>
      </w:r>
    </w:p>
    <w:p>
      <w:pPr>
        <w:spacing w:after="160" w:line="264"/>
        <w:jc w:val="both"/>
      </w:pPr>
      <w:r>
        <w:rPr>
          <w:rFonts w:ascii="Arial" w:cs="Arial" w:eastAsia="Arial" w:hAnsi="Arial"/>
          <w:color w:val="2A2620"/>
          <w:sz w:val="21"/>
          <w:szCs w:val="21"/>
        </w:rPr>
        <w:t xml:space="preserve">Against the Lunar Investment Mandate: the scenario-weighted expected return of 16.8% clears the 15.0% IRR hurdle (Lunar IC Charter, p.3) with the base case alone at 17.1%; a new Jahez position would be sized within the mandate's 10% single-name concentration cap (Lunar IC Charter, p.4), subject to final ticket sizing at the Investment Committee's discretion; and the position is publicly listed on Tadawul (6017) with active daily trading, satisfying the liquidity requirement for public-equity allocations (Lunar IC Charter, p.4). The bear case (7.0% IRR) would breach the 15.0% hurdle in isolation, the mandate-fit case rests on the 16.8% probability-weighted return, not the base case alone, and the Investment Committee should weigh that sensitivity explicitly.</w:t>
      </w:r>
    </w:p>
    <w:tbl>
      <w:tblPr>
        <w:tblW w:type="pct" w:w="100%"/>
        <w:tblBorders>
          <w:top w:val="single" w:color="B7AF9C" w:sz="4"/>
          <w:left w:val="single" w:color="B7AF9C" w:sz="4"/>
          <w:bottom w:val="single" w:color="B7AF9C" w:sz="4"/>
          <w:right w:val="single" w:color="B7AF9C" w:sz="4"/>
          <w:insideH w:val="single" w:color="D8D2C4" w:sz="4"/>
          <w:insideV w:val="single" w:color="D8D2C4" w:sz="4"/>
        </w:tblBorders>
      </w:tblPr>
      <w:tblGrid>
        <w:gridCol w:w="100"/>
        <w:gridCol w:w="100"/>
        <w:gridCol w:w="100"/>
      </w:tblGrid>
      <w:tr>
        <w:trPr>
          <w:tblHeader/>
        </w:trPr>
        <w:tc>
          <w:tcPr>
            <w:tcW w:type="pct" w:w="34%"/>
            <w:shd w:fill="2A2620" w:color="auto" w:val="clear"/>
            <w:tcMar>
              <w:top w:type="dxa" w:w="70"/>
              <w:left w:type="dxa" w:w="110"/>
              <w:bottom w:type="dxa" w:w="70"/>
              <w:right w:type="dxa" w:w="110"/>
            </w:tcMar>
            <w:vAlign w:val="center"/>
          </w:tcPr>
          <w:p>
            <w:pPr>
              <w:jc w:val="left"/>
            </w:pPr>
            <w:r>
              <w:rPr>
                <w:rFonts w:ascii="Arial" w:cs="Arial" w:eastAsia="Arial" w:hAnsi="Arial"/>
                <w:b/>
                <w:bCs/>
                <w:color w:val="F5F1E6"/>
                <w:sz w:val="19"/>
                <w:szCs w:val="19"/>
              </w:rPr>
              <w:t xml:space="preserve">Criterion</w:t>
            </w:r>
          </w:p>
        </w:tc>
        <w:tc>
          <w:tcPr>
            <w:tcW w:type="pct" w:w="30%"/>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Status</w:t>
            </w:r>
          </w:p>
        </w:tc>
        <w:tc>
          <w:tcPr>
            <w:tcW w:type="pct" w:w="36%"/>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Detail</w:t>
            </w:r>
          </w:p>
        </w:tc>
      </w:tr>
      <w:tr>
        <w:tc>
          <w:tcPr>
            <w:tcW w:type="pct" w:w="34%"/>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IRR hurdle (15%)</w:t>
            </w:r>
          </w:p>
        </w:tc>
        <w:tc>
          <w:tcPr>
            <w:tcW w:type="pct" w:w="3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PASS</w:t>
            </w:r>
          </w:p>
        </w:tc>
        <w:tc>
          <w:tcPr>
            <w:tcW w:type="pct" w:w="3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Weighted return 16.8% vs 15.0% hurdle</w:t>
            </w:r>
          </w:p>
        </w:tc>
      </w:tr>
      <w:tr>
        <w:tc>
          <w:tcPr>
            <w:tcW w:type="pct" w:w="34%"/>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Single-name concentration (10% cap)</w:t>
            </w:r>
          </w:p>
        </w:tc>
        <w:tc>
          <w:tcPr>
            <w:tcW w:type="pct" w:w="3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PASS (subject to ticket sizing)</w:t>
            </w:r>
          </w:p>
        </w:tc>
        <w:tc>
          <w:tcPr>
            <w:tcW w:type="pct" w:w="36%"/>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Public-equity position sized within the mandate cap by the Investment Committee</w:t>
            </w:r>
          </w:p>
        </w:tc>
      </w:tr>
      <w:tr>
        <w:tc>
          <w:tcPr>
            <w:tcW w:type="pct" w:w="34%"/>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Liquidity</w:t>
            </w:r>
          </w:p>
        </w:tc>
        <w:tc>
          <w:tcPr>
            <w:tcW w:type="pct" w:w="3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PASS</w:t>
            </w:r>
          </w:p>
        </w:tc>
        <w:tc>
          <w:tcPr>
            <w:tcW w:type="pct" w:w="36%"/>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Tadawul-listed (6017) with active daily trading</w:t>
            </w:r>
          </w:p>
        </w:tc>
      </w:tr>
    </w:tbl>
    <w:p>
      <w:pPr>
        <w:spacing w:after="200" w:before="40"/>
      </w:pPr>
      <w:r>
        <w:rPr>
          <w:rFonts w:ascii="Arial" w:cs="Arial" w:eastAsia="Arial" w:hAnsi="Arial"/>
          <w:i/>
          <w:iCs/>
          <w:color w:val="6B6455"/>
          <w:sz w:val="17"/>
          <w:szCs w:val="17"/>
        </w:rPr>
        <w:t xml:space="preserve">Source: Lunar IC Charter &amp; Investment Mandate, p.3-4.</w:t>
      </w:r>
    </w:p>
    <w:p>
      <w:pPr>
        <w:pStyle w:val="Heading1"/>
        <w:pBdr>
          <w:bottom w:val="single" w:color="B08D2A" w:sz="10"/>
        </w:pBdr>
        <w:spacing w:after="140" w:before="420"/>
      </w:pPr>
      <w:r>
        <w:rPr>
          <w:rFonts w:ascii="Georgia" w:cs="Georgia" w:eastAsia="Georgia" w:hAnsi="Georgia"/>
          <w:b/>
          <w:bCs/>
          <w:color w:val="2A2620"/>
          <w:sz w:val="32"/>
          <w:szCs w:val="32"/>
        </w:rPr>
        <w:t xml:space="preserve">Compliance Screen</w:t>
      </w:r>
    </w:p>
    <w:p>
      <w:pPr>
        <w:spacing w:after="160" w:line="264"/>
        <w:jc w:val="both"/>
      </w:pPr>
      <w:r>
        <w:rPr>
          <w:rFonts w:ascii="Arial" w:cs="Arial" w:eastAsia="Arial" w:hAnsi="Arial"/>
          <w:color w:val="2A2620"/>
          <w:sz w:val="21"/>
          <w:szCs w:val="21"/>
        </w:rPr>
        <w:t xml:space="preserve">Jahez passes Lunar's AAOIFI/Tadawul-methodology compliance screen on both financial-ratio tests: interest-bearing debt, SAR 161.2m of Islamic facilities and loans (Q1 2026 Financial Statements), sits at 6.01% of market capitalisation, and cash &amp; interest-bearing securities, SAR 510.7m of cash (Q1 2026 Financial Statements; interest-bearing securities are not separately disclosed, so the screen is run on cash alone), sits at 19.03%, both comfortably inside the 33% AAOIFI leverage/liquidity threshold. Including IFRS-16 lease liabilities (SAR 332.9m) in the stricter memo view still passes at 18.41%. Non-eligible income is not separately disclosed in the filings; per AAOIFI practice the position is screened via the business-activity test instead, food delivery and logistics is an eligible business activity, financed via Islamic facilities, rather than a fabricated income percentage. Overall Compliance screen: PASS.</w:t>
      </w:r>
    </w:p>
    <w:tbl>
      <w:tblPr>
        <w:tblW w:type="pct" w:w="100%"/>
        <w:tblBorders>
          <w:top w:val="single" w:color="B7AF9C" w:sz="4"/>
          <w:left w:val="single" w:color="B7AF9C" w:sz="4"/>
          <w:bottom w:val="single" w:color="B7AF9C" w:sz="4"/>
          <w:right w:val="single" w:color="B7AF9C" w:sz="4"/>
          <w:insideH w:val="single" w:color="D8D2C4" w:sz="4"/>
          <w:insideV w:val="single" w:color="D8D2C4" w:sz="4"/>
        </w:tblBorders>
      </w:tblPr>
      <w:tblGrid>
        <w:gridCol w:w="100"/>
        <w:gridCol w:w="100"/>
        <w:gridCol w:w="100"/>
        <w:gridCol w:w="100"/>
      </w:tblGrid>
      <w:tr>
        <w:trPr>
          <w:tblHeader/>
        </w:trPr>
        <w:tc>
          <w:tcPr>
            <w:tcW w:type="pct" w:w="40%"/>
            <w:shd w:fill="2A2620" w:color="auto" w:val="clear"/>
            <w:tcMar>
              <w:top w:type="dxa" w:w="70"/>
              <w:left w:type="dxa" w:w="110"/>
              <w:bottom w:type="dxa" w:w="70"/>
              <w:right w:type="dxa" w:w="110"/>
            </w:tcMar>
            <w:vAlign w:val="center"/>
          </w:tcPr>
          <w:p>
            <w:pPr>
              <w:jc w:val="left"/>
            </w:pPr>
            <w:r>
              <w:rPr>
                <w:rFonts w:ascii="Arial" w:cs="Arial" w:eastAsia="Arial" w:hAnsi="Arial"/>
                <w:b/>
                <w:bCs/>
                <w:color w:val="F5F1E6"/>
                <w:sz w:val="19"/>
                <w:szCs w:val="19"/>
              </w:rPr>
              <w:t xml:space="preserve">Screen</w:t>
            </w:r>
          </w:p>
        </w:tc>
        <w:tc>
          <w:tcPr>
            <w:tcW w:type="pct" w:w="20%"/>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Value</w:t>
            </w:r>
          </w:p>
        </w:tc>
        <w:tc>
          <w:tcPr>
            <w:tcW w:type="pct" w:w="20%"/>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Threshold</w:t>
            </w:r>
          </w:p>
        </w:tc>
        <w:tc>
          <w:tcPr>
            <w:tcW w:type="pct" w:w="20%"/>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Flag</w:t>
            </w:r>
          </w:p>
        </w:tc>
      </w:tr>
      <w:tr>
        <w:tc>
          <w:tcPr>
            <w:tcW w:type="pct" w:w="4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Interest-bearing debt / market cap</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6.01%</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33.00%</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PASS</w:t>
            </w:r>
          </w:p>
        </w:tc>
      </w:tr>
      <w:tr>
        <w:tc>
          <w:tcPr>
            <w:tcW w:type="pct" w:w="4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Cash &amp; securities / market cap</w:t>
            </w:r>
          </w:p>
        </w:tc>
        <w:tc>
          <w:tcPr>
            <w:tcW w:type="pct" w:w="2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19.03%</w:t>
            </w:r>
          </w:p>
        </w:tc>
        <w:tc>
          <w:tcPr>
            <w:tcW w:type="pct" w:w="2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33.00%</w:t>
            </w:r>
          </w:p>
        </w:tc>
        <w:tc>
          <w:tcPr>
            <w:tcW w:type="pct" w:w="2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PASS</w:t>
            </w:r>
          </w:p>
        </w:tc>
      </w:tr>
      <w:tr>
        <w:tc>
          <w:tcPr>
            <w:tcW w:type="pct" w:w="4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Memo: (debt + leases) / market cap</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18.41%</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33.00%</w:t>
            </w:r>
          </w:p>
        </w:tc>
        <w:tc>
          <w:tcPr>
            <w:tcW w:type="pct" w:w="2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PASS</w:t>
            </w:r>
          </w:p>
        </w:tc>
      </w:tr>
    </w:tbl>
    <w:p>
      <w:pPr>
        <w:spacing w:after="200" w:before="40"/>
      </w:pPr>
      <w:r>
        <w:rPr>
          <w:rFonts w:ascii="Arial" w:cs="Arial" w:eastAsia="Arial" w:hAnsi="Arial"/>
          <w:i/>
          <w:iCs/>
          <w:color w:val="6B6455"/>
          <w:sz w:val="17"/>
          <w:szCs w:val="17"/>
        </w:rPr>
        <w:t xml:space="preserve">Source: Q1 2026 Financial Statements, p.4 (balance sheet).</w:t>
      </w:r>
    </w:p>
    <w:p>
      <w:pPr>
        <w:pStyle w:val="Heading1"/>
        <w:pBdr>
          <w:bottom w:val="single" w:color="B08D2A" w:sz="10"/>
        </w:pBdr>
        <w:spacing w:after="140" w:before="420"/>
      </w:pPr>
      <w:r>
        <w:rPr>
          <w:rFonts w:ascii="Georgia" w:cs="Georgia" w:eastAsia="Georgia" w:hAnsi="Georgia"/>
          <w:b/>
          <w:bCs/>
          <w:color w:val="2A2620"/>
          <w:sz w:val="32"/>
          <w:szCs w:val="32"/>
        </w:rPr>
        <w:t xml:space="preserve">Catalysts &amp; Monitoring KPIs</w:t>
      </w:r>
    </w:p>
    <w:p>
      <w:pPr>
        <w:spacing w:after="160" w:line="264"/>
        <w:jc w:val="both"/>
      </w:pPr>
      <w:r>
        <w:rPr>
          <w:rFonts w:ascii="Arial" w:cs="Arial" w:eastAsia="Arial" w:hAnsi="Arial"/>
          <w:color w:val="2A2620"/>
          <w:sz w:val="21"/>
          <w:szCs w:val="21"/>
        </w:rPr>
        <w:t xml:space="preserve">Near-term catalysts: Snoonu's first full financial year of consolidation (the FY2025 contribution was SAR 626.8m of Group GMV from an October start; a full FY2026 should show materially more), the path back to positive net income after the SAR 9.2m Q1-2026A loss, and the trajectory of take rate (15.4% in FY2025A) as a read on how much of the Keeta-led price war Jahez can pass through versus absorb. The Investment Committee should treat any further one-off impairment (Q4-2025A already carried SAR 55.4m across Red Color, Marn goodwill, Others-segment ECL and Snoonu deal costs) as a trigger to re-run the scenario weights, not as one-time noise to dismiss.</w:t>
      </w:r>
    </w:p>
    <w:p>
      <w:pPr>
        <w:spacing w:after="90" w:before="220"/>
      </w:pPr>
      <w:r>
        <w:rPr>
          <w:rFonts w:ascii="Arial" w:cs="Arial" w:eastAsia="Arial" w:hAnsi="Arial"/>
          <w:b/>
          <w:bCs/>
          <w:color w:val="514B40"/>
          <w:sz w:val="24"/>
          <w:szCs w:val="24"/>
        </w:rPr>
        <w:t xml:space="preserve">Monitoring KPIs</w:t>
      </w:r>
    </w:p>
    <w:p>
      <w:pPr>
        <w:pStyle w:val="ListParagraph"/>
        <w:numPr>
          <w:ilvl w:val="0"/>
          <w:numId w:val="1"/>
        </w:numPr>
        <w:spacing w:after="80" w:line="250"/>
      </w:pPr>
      <w:r>
        <w:rPr>
          <w:rFonts w:ascii="Arial" w:cs="Arial" w:eastAsia="Arial" w:hAnsi="Arial"/>
          <w:color w:val="2A2620"/>
          <w:sz w:val="21"/>
          <w:szCs w:val="21"/>
        </w:rPr>
        <w:t xml:space="preserve">GMV growth, SAR 7,245.2m FY2025A (+10.8% YoY); watch for deceleration below the FY2026E-FY2030E forecast path</w:t>
      </w:r>
    </w:p>
    <w:p>
      <w:pPr>
        <w:pStyle w:val="ListParagraph"/>
        <w:numPr>
          <w:ilvl w:val="0"/>
          <w:numId w:val="1"/>
        </w:numPr>
        <w:spacing w:after="80" w:line="250"/>
      </w:pPr>
      <w:r>
        <w:rPr>
          <w:rFonts w:ascii="Arial" w:cs="Arial" w:eastAsia="Arial" w:hAnsi="Arial"/>
          <w:color w:val="2A2620"/>
          <w:sz w:val="21"/>
          <w:szCs w:val="21"/>
        </w:rPr>
        <w:t xml:space="preserve">Take rate, 15.4% FY2025A vs 14.6% FY2024A; the primary lever on net revenue given a competitive GMV environment</w:t>
      </w:r>
    </w:p>
    <w:p>
      <w:pPr>
        <w:pStyle w:val="ListParagraph"/>
        <w:numPr>
          <w:ilvl w:val="0"/>
          <w:numId w:val="1"/>
        </w:numPr>
        <w:spacing w:after="80" w:line="250"/>
      </w:pPr>
      <w:r>
        <w:rPr>
          <w:rFonts w:ascii="Arial" w:cs="Arial" w:eastAsia="Arial" w:hAnsi="Arial"/>
          <w:color w:val="2A2620"/>
          <w:sz w:val="21"/>
          <w:szCs w:val="21"/>
        </w:rPr>
        <w:t xml:space="preserve">Adjusted EBITDA margin, 8.3% FY2025A vs 11.3% FY2024A; the recovery path is the single biggest swing factor in the valuation</w:t>
      </w:r>
    </w:p>
    <w:p>
      <w:pPr>
        <w:pStyle w:val="ListParagraph"/>
        <w:numPr>
          <w:ilvl w:val="0"/>
          <w:numId w:val="1"/>
        </w:numPr>
        <w:spacing w:after="80" w:line="250"/>
      </w:pPr>
      <w:r>
        <w:rPr>
          <w:rFonts w:ascii="Arial" w:cs="Arial" w:eastAsia="Arial" w:hAnsi="Arial"/>
          <w:color w:val="2A2620"/>
          <w:sz w:val="21"/>
          <w:szCs w:val="21"/>
        </w:rPr>
        <w:t xml:space="preserve">Net income / net loss, SAR 73.0m FY2025A, SAR (9.2m) Q1-2026A; watch for a return to consistent profitability</w:t>
      </w:r>
    </w:p>
    <w:p>
      <w:pPr>
        <w:pStyle w:val="ListParagraph"/>
        <w:numPr>
          <w:ilvl w:val="0"/>
          <w:numId w:val="1"/>
        </w:numPr>
        <w:spacing w:after="80" w:line="250"/>
      </w:pPr>
      <w:r>
        <w:rPr>
          <w:rFonts w:ascii="Arial" w:cs="Arial" w:eastAsia="Arial" w:hAnsi="Arial"/>
          <w:color w:val="2A2620"/>
          <w:sz w:val="21"/>
          <w:szCs w:val="21"/>
        </w:rPr>
        <w:t xml:space="preserve">Cash &amp; net cash position, SAR 510.7m cash, SAR 16.6m net cash as of Q1-2026; supports the compliance screen and funds continued logistics build-out</w:t>
      </w:r>
    </w:p>
    <w:p>
      <w:pPr>
        <w:pStyle w:val="ListParagraph"/>
        <w:numPr>
          <w:ilvl w:val="0"/>
          <w:numId w:val="1"/>
        </w:numPr>
        <w:spacing w:after="80" w:line="250"/>
      </w:pPr>
      <w:r>
        <w:rPr>
          <w:rFonts w:ascii="Arial" w:cs="Arial" w:eastAsia="Arial" w:hAnsi="Arial"/>
          <w:color w:val="2A2620"/>
          <w:sz w:val="21"/>
          <w:szCs w:val="21"/>
        </w:rPr>
        <w:t xml:space="preserve">Snoonu contribution, SAR 626.8m of FY2025A Group GMV from an October consolidation start; the full-year FY2026 read-through is the key diversification proof point</w:t>
      </w:r>
    </w:p>
    <w:p>
      <w:pPr>
        <w:pStyle w:val="Heading1"/>
        <w:pBdr>
          <w:bottom w:val="single" w:color="B08D2A" w:sz="10"/>
        </w:pBdr>
        <w:spacing w:after="140" w:before="420"/>
      </w:pPr>
      <w:r>
        <w:rPr>
          <w:rFonts w:ascii="Georgia" w:cs="Georgia" w:eastAsia="Georgia" w:hAnsi="Georgia"/>
          <w:b/>
          <w:bCs/>
          <w:color w:val="2A2620"/>
          <w:sz w:val="32"/>
          <w:szCs w:val="32"/>
        </w:rPr>
        <w:t xml:space="preserve">Appendix: Sources</w:t>
      </w:r>
    </w:p>
    <w:p>
      <w:pPr>
        <w:spacing w:after="160" w:line="264"/>
        <w:jc w:val="both"/>
      </w:pPr>
      <w:r>
        <w:rPr>
          <w:rFonts w:ascii="Arial" w:cs="Arial" w:eastAsia="Arial" w:hAnsi="Arial"/>
          <w:color w:val="2A2620"/>
          <w:sz w:val="21"/>
          <w:szCs w:val="21"/>
        </w:rPr>
        <w:t xml:space="preserve">Every source document actually cited in this memo, with the pages the cited figures came from. Full cell-level source trails are in the accompanying Excel valuation workbook.</w:t>
      </w:r>
    </w:p>
    <w:tbl>
      <w:tblPr>
        <w:tblW w:type="pct" w:w="100%"/>
        <w:tblBorders>
          <w:top w:val="single" w:color="B7AF9C" w:sz="4"/>
          <w:left w:val="single" w:color="B7AF9C" w:sz="4"/>
          <w:bottom w:val="single" w:color="B7AF9C" w:sz="4"/>
          <w:right w:val="single" w:color="B7AF9C" w:sz="4"/>
          <w:insideH w:val="single" w:color="D8D2C4" w:sz="4"/>
          <w:insideV w:val="single" w:color="D8D2C4" w:sz="4"/>
        </w:tblBorders>
      </w:tblPr>
      <w:tblGrid>
        <w:gridCol w:w="100"/>
        <w:gridCol w:w="100"/>
      </w:tblGrid>
      <w:tr>
        <w:trPr>
          <w:tblHeader/>
        </w:trPr>
        <w:tc>
          <w:tcPr>
            <w:tcW w:type="pct" w:w="70%"/>
            <w:shd w:fill="2A2620" w:color="auto" w:val="clear"/>
            <w:tcMar>
              <w:top w:type="dxa" w:w="70"/>
              <w:left w:type="dxa" w:w="110"/>
              <w:bottom w:type="dxa" w:w="70"/>
              <w:right w:type="dxa" w:w="110"/>
            </w:tcMar>
            <w:vAlign w:val="center"/>
          </w:tcPr>
          <w:p>
            <w:pPr>
              <w:jc w:val="left"/>
            </w:pPr>
            <w:r>
              <w:rPr>
                <w:rFonts w:ascii="Arial" w:cs="Arial" w:eastAsia="Arial" w:hAnsi="Arial"/>
                <w:b/>
                <w:bCs/>
                <w:color w:val="F5F1E6"/>
                <w:sz w:val="19"/>
                <w:szCs w:val="19"/>
              </w:rPr>
              <w:t xml:space="preserve">Document</w:t>
            </w:r>
          </w:p>
        </w:tc>
        <w:tc>
          <w:tcPr>
            <w:tcW w:type="pct" w:w="30%"/>
            <w:shd w:fill="2A2620" w:color="auto" w:val="clear"/>
            <w:tcMar>
              <w:top w:type="dxa" w:w="70"/>
              <w:left w:type="dxa" w:w="110"/>
              <w:bottom w:type="dxa" w:w="70"/>
              <w:right w:type="dxa" w:w="110"/>
            </w:tcMar>
            <w:vAlign w:val="center"/>
          </w:tcPr>
          <w:p>
            <w:pPr>
              <w:jc w:val="center"/>
            </w:pPr>
            <w:r>
              <w:rPr>
                <w:rFonts w:ascii="Arial" w:cs="Arial" w:eastAsia="Arial" w:hAnsi="Arial"/>
                <w:b/>
                <w:bCs/>
                <w:color w:val="F5F1E6"/>
                <w:sz w:val="19"/>
                <w:szCs w:val="19"/>
              </w:rPr>
              <w:t xml:space="preserve">Pages cited</w:t>
            </w:r>
          </w:p>
        </w:tc>
      </w:tr>
      <w:tr>
        <w:tc>
          <w:tcPr>
            <w:tcW w:type="pct" w:w="7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Annual Report 2024</w:t>
            </w:r>
          </w:p>
        </w:tc>
        <w:tc>
          <w:tcPr>
            <w:tcW w:type="pct" w:w="3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p.5, p.24</w:t>
            </w:r>
          </w:p>
        </w:tc>
      </w:tr>
      <w:tr>
        <w:tc>
          <w:tcPr>
            <w:tcW w:type="pct" w:w="7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FY2025 Earnings Call Presentation</w:t>
            </w:r>
          </w:p>
        </w:tc>
        <w:tc>
          <w:tcPr>
            <w:tcW w:type="pct" w:w="3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p.6</w:t>
            </w:r>
          </w:p>
        </w:tc>
      </w:tr>
      <w:tr>
        <w:tc>
          <w:tcPr>
            <w:tcW w:type="pct" w:w="7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Industry &amp; News Pack · Saudi Quick-Commerce</w:t>
            </w:r>
          </w:p>
        </w:tc>
        <w:tc>
          <w:tcPr>
            <w:tcW w:type="pct" w:w="3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p.2, p.4</w:t>
            </w:r>
          </w:p>
        </w:tc>
      </w:tr>
      <w:tr>
        <w:tc>
          <w:tcPr>
            <w:tcW w:type="pct" w:w="7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Lunar IC Charter &amp; Investment Mandate</w:t>
            </w:r>
          </w:p>
        </w:tc>
        <w:tc>
          <w:tcPr>
            <w:tcW w:type="pct" w:w="3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p.3, p.4</w:t>
            </w:r>
          </w:p>
        </w:tc>
      </w:tr>
      <w:tr>
        <w:tc>
          <w:tcPr>
            <w:tcW w:type="pct" w:w="7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Market Data &amp; Comparables Snapshot</w:t>
            </w:r>
          </w:p>
        </w:tc>
        <w:tc>
          <w:tcPr>
            <w:tcW w:type="pct" w:w="3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p.2, p.3, p.4</w:t>
            </w:r>
          </w:p>
        </w:tc>
      </w:tr>
      <w:tr>
        <w:tc>
          <w:tcPr>
            <w:tcW w:type="pct" w:w="7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Q1 2026 Earnings Call Presentation</w:t>
            </w:r>
          </w:p>
        </w:tc>
        <w:tc>
          <w:tcPr>
            <w:tcW w:type="pct" w:w="3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p.26</w:t>
            </w:r>
          </w:p>
        </w:tc>
      </w:tr>
      <w:tr>
        <w:tc>
          <w:tcPr>
            <w:tcW w:type="pct" w:w="70%"/>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Q1 2026 Financial Statements</w:t>
            </w:r>
          </w:p>
        </w:tc>
        <w:tc>
          <w:tcPr>
            <w:tcW w:type="pct" w:w="30%"/>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p.4, p.5</w:t>
            </w:r>
          </w:p>
        </w:tc>
      </w:tr>
      <w:tr>
        <w:tc>
          <w:tcPr>
            <w:tcW w:type="pct" w:w="70%"/>
            <w:shd w:fill="FBF9F4" w:color="auto" w:val="clear"/>
            <w:tcMar>
              <w:top w:type="dxa" w:w="70"/>
              <w:left w:type="dxa" w:w="110"/>
              <w:bottom w:type="dxa" w:w="70"/>
              <w:right w:type="dxa" w:w="110"/>
            </w:tcMar>
            <w:vAlign w:val="center"/>
          </w:tcPr>
          <w:p>
            <w:pPr>
              <w:jc w:val="left"/>
            </w:pPr>
            <w:r>
              <w:rPr>
                <w:rFonts w:ascii="Arial" w:cs="Arial" w:eastAsia="Arial" w:hAnsi="Arial"/>
                <w:b w:val="false"/>
                <w:bCs w:val="false"/>
                <w:color w:val="2A2620"/>
                <w:sz w:val="19"/>
                <w:szCs w:val="19"/>
              </w:rPr>
              <w:t xml:space="preserve">Q4 2025 Earnings Results</w:t>
            </w:r>
          </w:p>
        </w:tc>
        <w:tc>
          <w:tcPr>
            <w:tcW w:type="pct" w:w="30%"/>
            <w:shd w:fill="FBF9F4" w:color="auto" w:val="clear"/>
            <w:tcMar>
              <w:top w:type="dxa" w:w="70"/>
              <w:left w:type="dxa" w:w="110"/>
              <w:bottom w:type="dxa" w:w="70"/>
              <w:right w:type="dxa" w:w="110"/>
            </w:tcMar>
            <w:vAlign w:val="center"/>
          </w:tcPr>
          <w:p>
            <w:pPr>
              <w:jc w:val="center"/>
            </w:pPr>
            <w:r>
              <w:rPr>
                <w:rFonts w:ascii="Arial" w:cs="Arial" w:eastAsia="Arial" w:hAnsi="Arial"/>
                <w:b w:val="false"/>
                <w:bCs w:val="false"/>
                <w:color w:val="2A2620"/>
                <w:sz w:val="19"/>
                <w:szCs w:val="19"/>
              </w:rPr>
              <w:t xml:space="preserve">p.2, p.4, p.6, p.8, p.9, p.11</w:t>
            </w:r>
          </w:p>
        </w:tc>
      </w:tr>
    </w:tbl>
    <w:sectPr>
      <w:headerReference w:type="default" r:id="rId7"/>
      <w:headerReference w:type="first" r:id="rId8"/>
      <w:footerReference w:type="default" r:id="rId9"/>
      <w:footerReference w:type="first" r:id="rId10"/>
      <w:pgSz w:w="11908" w:h="16833"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pBdr>
      <w:spacing w:before="60"/>
    </w:pPr>
    <w:r>
      <w:rPr>
        <w:rFonts w:ascii="Arial" w:cs="Arial" w:eastAsia="Arial" w:hAnsi="Arial"/>
        <w:i/>
        <w:iCs/>
        <w:color w:val="6B6455"/>
        <w:sz w:val="16"/>
        <w:szCs w:val="16"/>
      </w:rPr>
      <w:t xml:space="preserve">Prepared by Faheem for Lunar Investments, Advisory only. Not investment advice.</w:t>
    </w:r>
  </w:p>
  <w:p>
    <w:pPr>
      <w:jc w:val="right"/>
    </w:pPr>
    <w:r>
      <w:rPr>
        <w:rFonts w:ascii="Arial" w:cs="Arial" w:eastAsia="Arial" w:hAnsi="Arial"/>
        <w:color w:val="6B64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2A" w:sz="6"/>
      </w:pBdr>
      <w:tabs>
        <w:tab w:val="right" w:pos="9360"/>
      </w:tabs>
      <w:spacing w:after="60"/>
    </w:pPr>
    <w:r>
      <w:rPr>
        <w:rFonts w:ascii="Arial" w:cs="Arial" w:eastAsia="Arial" w:hAnsi="Arial"/>
        <w:b/>
        <w:bCs/>
        <w:color w:val="514B40"/>
        <w:sz w:val="17"/>
        <w:szCs w:val="17"/>
      </w:rPr>
      <w:t xml:space="preserve">LUNAR INVESTMENTS</w:t>
    </w:r>
    <w:r>
      <w:rPr>
        <w:rFonts w:ascii="Arial" w:cs="Arial" w:eastAsia="Arial" w:hAnsi="Arial"/>
        <w:i/>
        <w:iCs/>
        <w:color w:val="6B6455"/>
        <w:sz w:val="17"/>
        <w:szCs w:val="17"/>
      </w:rPr>
      <w:t xml:space="preserve">	Investment Committee Memorandum, Jahez International (Tadawul: 6017)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Jahez International, Investment Committee Memorandum</dc:title>
  <dc:subject>Jahez International Company (Tadawul: 6017)</dc:subject>
  <dc:creator>Faheem</dc:creator>
  <dc:description>Lunar Investments IC memo, advisory only, generated by Faheem</dc:description>
  <cp:lastModifiedBy>Un-named</cp:lastModifiedBy>
  <cp:revision>1</cp:revision>
  <dcterms:created xsi:type="dcterms:W3CDTF">2026-07-15T20:13:36.439Z</dcterms:created>
  <dcterms:modified xsi:type="dcterms:W3CDTF">2026-07-15T20:13:36.439Z</dcterms:modified>
</cp:coreProperties>
</file>

<file path=docProps/custom.xml><?xml version="1.0" encoding="utf-8"?>
<Properties xmlns="http://schemas.openxmlformats.org/officeDocument/2006/custom-properties" xmlns:vt="http://schemas.openxmlformats.org/officeDocument/2006/docPropsVTypes"/>
</file>