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Template Tender Document (English)</w:t>
      </w:r>
    </w:p>
    <w:p>
      <w:r>
        <w:t>1. Bid validity period shall be at least 120 calendar days from bid opening.</w:t>
      </w:r>
    </w:p>
    <w:p>
      <w:r>
        <w:t>2. Performance bond amount shall be 10% of contract value and submitted within 10 days.</w:t>
      </w:r>
    </w:p>
    <w:p>
      <w:r>
        <w:t>3. Liquidated damages for delay shall be 0.5% per week, capped at 10% of contract price.</w:t>
      </w:r>
    </w:p>
    <w:p>
      <w:r>
        <w:t>4. Warranty period shall be no less than 24 months from final acceptance.</w:t>
      </w:r>
    </w:p>
    <w:p>
      <w:r>
        <w:t>5. Payment terms: 30% advance, 60% after delivery acceptance, 10% after warranty inspection.</w:t>
      </w:r>
    </w:p>
    <w:p>
      <w:r>
        <w:t>6. Governing law and dispute resolution shall be arbitration in the project city.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