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data.1}}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下图所示。</w:t>
      </w:r>
      <w:r>
        <w:rPr>
          <w:rFonts w:hint="eastAsia"/>
        </w:rPr>
      </w:r>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{{date.period_label_cn}}桥梁环境温湿度数据分析表明，桥梁在温湿度作用下表现良好，结构安全稳定。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{{cell.structure_temperature.1/2主跨钢桁架桥面板测点1.avg#1}}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{{cell.structure_temperature.1/2主跨钢桁架桥面板测点1.max#1}}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{{cell.structure_temperature.1/2主跨钢桁架桥面板测点1.min#1}}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{{cell.structure_temperature.1/2主跨钢桁架桥面板测点1.range#1}}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{{cell.structure_temperature.1/2主跨钢桁架桥面板测点2.avg#2}}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{{cell.structure_temperature.1/2主跨钢桁架桥面板测点2.max#2}}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{{cell.structure_temperature.1/2主跨钢桁架桥面板测点2.min#2}}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{{cell.structure_temperature.1/2主跨钢桁架桥面板测点2.range#2}}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{{cell.structure_temperature.1/2主跨钢桁架桥面板测点3.avg#3}}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{{cell.structure_temperature.1/2主跨钢桁架桥面板测点3.max#3}}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{{cell.structure_temperature.1/2主跨钢桁架桥面板测点3.min#3}}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{{cell.structure_temperature.1/2主跨钢桁架桥面板测点3.range#3}}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{{cell.structure_temperature.1/2主跨钢桁架桥面板测点4.avg#4}}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{{cell.structure_temperature.1/2主跨钢桁架桥面板测点4.max#4}}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{{cell.structure_temperature.1/2主跨钢桁架桥面板测点4.min#4}}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{{cell.structure_temperature.1/2主跨钢桁架桥面板测点4.range#4}}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{{cell.structure_temperature.1/2主跨钢桁架桥面板测点5.avg#5}}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{{cell.structure_temperature.1/2主跨钢桁架桥面板测点5.max#5}}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{{cell.structure_temperature.1/2主跨钢桁架桥面板测点5.min#5}}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{{cell.structure_temperature.1/2主跨钢桁架桥面板测点5.range#5}}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{{cell.structure_temperature.1/2主跨钢桁架桥面板测点6.avg#6}}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{{cell.structure_temperature.1/2主跨钢桁架桥面板测点6.max#6}}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{{cell.structure_temperature.1/2主跨钢桁架桥面板测点6.min#6}}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{{cell.structure_temperature.1/2主跨钢桁架桥面板测点6.range#6}}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{{cell.structure_temperature.1/2主跨钢桁架桥面板测点7.avg#7}}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{{cell.structure_temperature.1/2主跨钢桁架桥面板测点7.max#7}}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{{cell.structure_temperature.1/2主跨钢桁架桥面板测点7.min#7}}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{{cell.structure_temperature.1/2主跨钢桁架桥面板测点7.range#7}}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{{cell.structure_temperature.1/2主跨钢桁架桥面板测点8.avg#8}}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{{cell.structure_temperature.1/2主跨钢桁架桥面板测点8.max#8}}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{{cell.structure_temperature.1/2主跨钢桁架桥面板测点8.min#8}}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{{cell.structure_temperature.1/2主跨钢桁架桥面板测点8.range#8}}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{{cell.structure_temperature.1/2主跨钢桁架桥面板测点9.avg#9}}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{{cell.structure_temperature.1/2主跨钢桁架桥面板测点9.max#9}}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{{cell.structure_temperature.1/2主跨钢桁架桥面板测点9.min#9}}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{{cell.structure_temperature.1/2主跨钢桁架桥面板测点9.range#9}}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{{cell.structure_temperature.1/2主跨钢桁架桥面板测点10.avg#10}}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{{cell.structure_temperature.1/2主跨钢桁架桥面板测点10.max#10}}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{{cell.structure_temperature.1/2主跨钢桁架桥面板测点10.min#10}}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{{cell.structure_temperature.1/2主跨钢桁架桥面板测点10.range#10}}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{{cell.structure_temperature.1/2主跨钢桁架桥面板测点11.avg#11}}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{{cell.structure_temperature.1/2主跨钢桁架桥面板测点11.max#11}}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{{cell.structure_temperature.1/2主跨钢桁架桥面板测点11.min#11}}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{{cell.structure_temperature.1/2主跨钢桁架桥面板测点11.range#11}}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{{cell.structure_temperature.1/2主跨钢桁架桥面板测点12.avg#12}}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{{cell.structure_temperature.1/2主跨钢桁架桥面板测点12.max#12}}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{{cell.structure_temperature.1/2主跨钢桁架桥面板测点12.min#12}}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{{cell.structure_temperature.1/2主跨钢桁架桥面板测点12.range#12}}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{{cell.structure_temperature.1/2主跨钢桁架桥面板测点13.avg#13}}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{{cell.structure_temperature.1/2主跨钢桁架桥面板测点13.max#13}}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{{cell.structure_temperature.1/2主跨钢桁架桥面板测点13.min#13}}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{{cell.structure_temperature.1/2主跨钢桁架桥面板测点13.range#13}}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{{cell.structure_temperature.1/2主跨钢桁架桥面板测点14.avg#14}}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{{cell.structure_temperature.1/2主跨钢桁架桥面板测点14.max#14}}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{{cell.structure_temperature.1/2主跨钢桁架桥面板测点14.min#14}}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{{cell.structure_temperature.1/2主跨钢桁架桥面板测点14.range#14}}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{{cell.structure_temperature.1/2主跨钢桁架桥面板测点15.avg#15}}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{{cell.structure_temperature.1/2主跨钢桁架桥面板测点15.max#15}}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{{cell.structure_temperature.1/2主跨钢桁架桥面板测点15.min#15}}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{{cell.structure_temperature.1/2主跨钢桁架桥面板测点15.range#15}}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{{cell.structure_temperature.1/2主跨钢桁架桥面板测点16.avg#16}}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{{cell.structure_temperature.1/2主跨钢桁架桥面板测点16.max#16}}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{{cell.structure_temperature.1/2主跨钢桁架桥面板测点16.min#16}}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{{cell.structure_temperature.1/2主跨钢桁架桥面板测点16.range#16}}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{{chart.temperature_1/4主跨钢桁梁温度_trend_31}}</w:t>
      </w:r>
    </w:p>
    <w:p w14:paraId="372F7074">
      <w:pPr>
        <w:jc w:val="center"/>
      </w:pPr>
      <w:r>
        <w:rPr>
          <w:rFonts w:hint="eastAsia"/>
          <w:sz w:val="22"/>
          <w:szCs w:val="22"/>
          <w:lang w:val="en-US" w:eastAsia="zh-CN"/>
        </w:rPr>
        <w:t>{{chart.temperature_1/4主跨钢桁梁温度_histogram_32}}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{{chart.temperature_1/4主跨钢桁梁温度1/2主跨钢桁梁_trend_33}}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{{chart.temperature_1/4主跨钢桁梁温度1/2主跨钢桁梁_histogram_34}}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{{chart.temperature_3/4主跨钢桁梁温度_trend_35}}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{{chart.temperature_3/4主跨钢桁梁温度_histogram_36}}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{{date.period_label_cn}}，我们对桥梁所受结构温度荷载、车辆荷载、风荷载以及地震荷载进行了持续监测，收集了大量的作用数据。这些数据反映了桥梁在受力状况，对于评估桥梁结构的健康状态具有重要意义。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date.period_label_cn}}内，桥梁所受荷载指标均在正常范围内，未对桥梁结构造成影响。监测数据结果表明，洞庭湖大桥在分析时间段内通过的车辆总数为{{data.818}}辆。其中车道1、车道2和车道3方向车辆总数为{{data.819}}辆，其中车道4、车道5和车道6方向车辆总数为{{data.820}}辆。结构温度监测数据稳定，其中最大值为{{stats.structure_temperature.max}}℃，对应位置为{{stats.structure_temperature.max.loc}}。{{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{{date.period_label_cn}}桥梁监测数据分析表明，桥梁在结构温度荷载以及地震荷载的作用下表现良好，结构安全稳定。</w:t>
      </w:r>
      <w:r>
        <w:rPr>
          <w:rFonts w:hint="eastAsia"/>
          <w:szCs w:val="24"/>
        </w:rPr>
      </w:r>
      <w:r>
        <w:rPr>
          <w:szCs w:val="24"/>
        </w:rPr>
      </w:r>
      <w:r>
        <w:rPr>
          <w:rFonts w:hint="eastAsia"/>
          <w:szCs w:val="24"/>
        </w:rPr>
      </w:r>
      <w:r>
        <w:rPr>
          <w:szCs w:val="24"/>
        </w:rPr>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10个主梁空间变位测点，2个索塔空间变位测点；其中在原有系统主跨{{data.821}}/{{data.822}}、{{data.823}}/2、3/4处，君山索塔与横梁交接处，君山侧边跨1/2处分别布设1个测点，共计5个；在岳阳侧、君山侧索塔塔冠处分别布设1个测点，共计2个。在新增系统主跨桥面四分点、君山塔梁交接处下游侧、君山侧边跨跨中桥面下游侧分别布设1个测点，共计5个；布置如下图所示。</w:t>
      </w:r>
      <w:r/>
      <w:r>
        <w:rPr>
          <w:rFonts w:hint="eastAsia"/>
        </w:rPr>
      </w:r>
      <w:r/>
      <w:r>
        <w:rPr>
          <w:rFonts w:hint="eastAsia"/>
        </w:rPr>
      </w:r>
      <w:r/>
      <w:r>
        <w:rPr>
          <w:rFonts w:hint="eastAsia"/>
        </w:rPr>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{{cell.strain.1/2主跨钢桁架桥面板测点2.avg#2}}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{{cell.strain.1/2主跨钢桁架桥面板测点3.avg#3}}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{{cell.strain.1/2主跨钢桁架桥面板测点3.range#3}}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{{cell.strain.1/2主跨钢桁架桥面板测点4.avg#4}}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{{cell.strain.1/2主跨钢桁架桥面板测点5.avg#5}}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{{cell.strain.1/2主跨钢桁架桥面板测点6.avg#6}}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{{cell.strain.1/2主跨钢桁架桥面板测点6.range#6}}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{{cell.strain.1/2主跨钢桁架桥面板测点7.range#7}}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{{cell.strain.1/2主跨钢桁架桥面板测点8.avg#8}}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{{cell.strain.1/2主跨钢桁架桥面板测点9.avg#9}}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{{cell.strain.1/2主跨钢桁架桥面板测点9.range#9}}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{{chart.strain_1/4主跨钢桁梁1/2主跨钢桁梁_trend_13}}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{{chart.strain_1/4主跨钢桁梁1/2主跨钢桁梁_histogram_14}}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1F0B240C">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洞庭湖大桥塔梁交接处支座位移岳阳侧测点出现明显跳动，君山侧伸缩缝处支座位移出现明显跳动。应变最大差值为{{stats.strain.range}}με，对应测点位置为{{stats.strain.range.loc}}。</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洞庭湖大桥共布置4个索夹滑动位移测点，其中在原有系统{{data.2146}}-L、{{data.2147}}-R、{{data.2148}}-L、{{data.2149}}-R吊索索夹分别布设1个测点，共计4个；布置如下图所示。</w:t>
      </w:r>
      <w:r/>
      <w:r>
        <w:rPr>
          <w:rFonts w:hint="eastAsia"/>
        </w:rPr>
      </w:r>
      <w:r/>
      <w:r>
        <w:rPr>
          <w:rFonts w:hint="eastAsia"/>
        </w:rPr>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{{date.period_label_cn}}，我们对桥梁结构的作用变化进行了持续监测，收集了大量的作用数据。这些数据反映了桥梁结构状况变化，对于评估桥梁结构的健康状态具有重要意义。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39D8F63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综上，洞庭湖大桥在2025年01月{{data.2205}}月之间部分监测数据正常，监测结果可靠，在监测数据所在时段内洞庭湖大桥处于良好的运行状态。下表为监测数据超限情况表。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