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Calibri" w:hAnsi="Calibri"/>
          <w:b/>
          <w:color w:val="2E74B5"/>
          <w:sz w:val="24"/>
        </w:rPr>
        <w:t>AMAZON ML CHALLENGE 2026</w:t>
      </w:r>
    </w:p>
    <w:p>
      <w:pPr>
        <w:spacing w:before="160" w:after="160"/>
        <w:jc w:val="center"/>
      </w:pPr>
      <w:r>
        <w:rPr>
          <w:rFonts w:ascii="Calibri" w:hAnsi="Calibri"/>
          <w:b/>
          <w:color w:val="1F4D78"/>
          <w:sz w:val="56"/>
        </w:rPr>
        <w:t>Business Entity Resolution</w:t>
        <w:br/>
        <w:t>Solution Report</w:t>
      </w:r>
    </w:p>
    <w:p>
      <w:pPr>
        <w:spacing w:after="520"/>
        <w:jc w:val="center"/>
      </w:pPr>
      <w:r>
        <w:rPr>
          <w:rFonts w:ascii="Calibri" w:hAnsi="Calibri"/>
          <w:b w:val="0"/>
          <w:color w:val="5B6573"/>
          <w:sz w:val="26"/>
        </w:rPr>
        <w:t>What we built, how it ran on AWS, and what to demonstrate</w:t>
      </w:r>
    </w:p>
    <w:tbl>
      <w:tblPr>
        <w:tblStyle w:val="TableGrid"/>
        <w:tblW w:type="dxa" w:w="9360"/>
        <w:jc w:val="left"/>
        <w:tblLayout w:type="fixed"/>
        <w:tblLook w:firstColumn="1" w:firstRow="1" w:lastColumn="0" w:lastRow="0" w:noHBand="0" w:noVBand="1" w:val="04A0"/>
        <w:tblInd w:w="120" w:type="dxa"/>
        <w:tblInd w:w="120" w:type="dxa"/>
      </w:tblPr>
      <w:tblGrid>
        <w:gridCol w:w="3600"/>
        <w:gridCol w:w="2880"/>
        <w:gridCol w:w="2880"/>
      </w:tblGrid>
      <w:tr>
        <w:tc>
          <w:tcPr>
            <w:tcW w:type="dxa" w:w="3600"/>
            <w:tcMar>
              <w:top w:w="80" w:type="dxa"/>
              <w:start w:w="120" w:type="dxa"/>
              <w:bottom w:w="80" w:type="dxa"/>
              <w:end w:w="120" w:type="dxa"/>
            </w:tcMar>
            <w:vAlign w:val="center"/>
            <w:shd w:fill="E8EEF5"/>
          </w:tcPr>
          <w:p>
            <w:pPr>
              <w:spacing w:after="0"/>
            </w:pPr>
            <w:r>
              <w:rPr>
                <w:rFonts w:ascii="Calibri" w:hAnsi="Calibri"/>
                <w:b/>
                <w:color w:val="1F4D78"/>
                <w:sz w:val="19"/>
              </w:rPr>
              <w:t>Challenge</w:t>
            </w:r>
          </w:p>
        </w:tc>
        <w:tc>
          <w:tcPr>
            <w:tcW w:type="dxa" w:w="2880"/>
            <w:tcMar>
              <w:top w:w="80" w:type="dxa"/>
              <w:start w:w="120" w:type="dxa"/>
              <w:bottom w:w="80" w:type="dxa"/>
              <w:end w:w="120" w:type="dxa"/>
            </w:tcMar>
            <w:vAlign w:val="center"/>
            <w:shd w:fill="E8EEF5"/>
          </w:tcPr>
          <w:p>
            <w:pPr>
              <w:spacing w:after="0"/>
            </w:pPr>
            <w:r>
              <w:rPr>
                <w:rFonts w:ascii="Calibri" w:hAnsi="Calibri"/>
                <w:b/>
                <w:color w:val="1F4D78"/>
                <w:sz w:val="19"/>
              </w:rPr>
              <w:t>Team</w:t>
            </w:r>
          </w:p>
        </w:tc>
        <w:tc>
          <w:tcPr>
            <w:tcW w:type="dxa" w:w="2880"/>
            <w:tcMar>
              <w:top w:w="80" w:type="dxa"/>
              <w:start w:w="120" w:type="dxa"/>
              <w:bottom w:w="80" w:type="dxa"/>
              <w:end w:w="120" w:type="dxa"/>
            </w:tcMar>
            <w:vAlign w:val="center"/>
            <w:shd w:fill="E8EEF5"/>
          </w:tcPr>
          <w:p>
            <w:pPr>
              <w:spacing w:after="0"/>
            </w:pPr>
            <w:r>
              <w:rPr>
                <w:rFonts w:ascii="Calibri" w:hAnsi="Calibri"/>
                <w:b/>
                <w:color w:val="1F4D78"/>
                <w:sz w:val="19"/>
              </w:rPr>
              <w:t>Report date</w:t>
            </w:r>
          </w:p>
        </w:tc>
      </w:tr>
      <w:tr>
        <w:tc>
          <w:tcPr>
            <w:tcW w:type="dxa" w:w="3600"/>
            <w:tcMar>
              <w:top w:w="80" w:type="dxa"/>
              <w:start w:w="120" w:type="dxa"/>
              <w:bottom w:w="80" w:type="dxa"/>
              <w:end w:w="120" w:type="dxa"/>
            </w:tcMar>
            <w:vAlign w:val="center"/>
          </w:tcPr>
          <w:p>
            <w:pPr>
              <w:spacing w:after="0"/>
            </w:pPr>
            <w:r>
              <w:rPr>
                <w:rFonts w:ascii="Calibri" w:hAnsi="Calibri"/>
                <w:color w:val="111111"/>
                <w:sz w:val="18"/>
              </w:rPr>
              <w:t>Business Entity Resolution</w:t>
            </w:r>
          </w:p>
        </w:tc>
        <w:tc>
          <w:tcPr>
            <w:tcW w:type="dxa" w:w="2880"/>
            <w:tcMar>
              <w:top w:w="80" w:type="dxa"/>
              <w:start w:w="120" w:type="dxa"/>
              <w:bottom w:w="80" w:type="dxa"/>
              <w:end w:w="120" w:type="dxa"/>
            </w:tcMar>
            <w:vAlign w:val="center"/>
          </w:tcPr>
          <w:p>
            <w:pPr>
              <w:spacing w:after="0"/>
            </w:pPr>
            <w:r>
              <w:rPr>
                <w:rFonts w:ascii="Calibri" w:hAnsi="Calibri"/>
                <w:color w:val="111111"/>
                <w:sz w:val="18"/>
              </w:rPr>
              <w:t>WinKing</w:t>
            </w:r>
          </w:p>
        </w:tc>
        <w:tc>
          <w:tcPr>
            <w:tcW w:type="dxa" w:w="2880"/>
            <w:tcMar>
              <w:top w:w="80" w:type="dxa"/>
              <w:start w:w="120" w:type="dxa"/>
              <w:bottom w:w="80" w:type="dxa"/>
              <w:end w:w="120" w:type="dxa"/>
            </w:tcMar>
            <w:vAlign w:val="center"/>
          </w:tcPr>
          <w:p>
            <w:pPr>
              <w:spacing w:after="0"/>
            </w:pPr>
            <w:r>
              <w:rPr>
                <w:rFonts w:ascii="Calibri" w:hAnsi="Calibri"/>
                <w:color w:val="111111"/>
                <w:sz w:val="18"/>
              </w:rPr>
              <w:t>30 September 2026</w:t>
            </w:r>
          </w:p>
        </w:tc>
      </w:tr>
    </w:tbl>
    <w:p>
      <w:pPr>
        <w:spacing w:after="40"/>
      </w:pPr>
    </w:p>
    <w:p>
      <w:pPr>
        <w:spacing w:before="400"/>
      </w:pPr>
      <w:r>
        <w:rPr>
          <w:rFonts w:ascii="Calibri" w:hAnsi="Calibri"/>
          <w:b/>
          <w:color w:val="1F4D78"/>
          <w:sz w:val="22"/>
        </w:rPr>
        <w:t xml:space="preserve">One-line outcome: </w:t>
      </w:r>
      <w:r>
        <w:rPr>
          <w:rFonts w:ascii="Calibri" w:hAnsi="Calibri"/>
          <w:color w:val="111111"/>
          <w:sz w:val="22"/>
        </w:rPr>
        <w:t>We delivered a reproducible, validator-clean entity-resolution submission using conservative normalized exact matching, country partitioning, and global exclusivity.</w:t>
      </w:r>
    </w:p>
    <w:p>
      <w:pPr>
        <w:pStyle w:val="Heading1"/>
        <w:keepNext/>
      </w:pPr>
      <w:r>
        <w:rPr>
          <w:rFonts w:ascii="Calibri" w:hAnsi="Calibri"/>
          <w:b/>
          <w:color w:val="2E74B5"/>
          <w:sz w:val="32"/>
        </w:rPr>
        <w:t>Executive summary</w:t>
      </w:r>
    </w:p>
    <w:p>
      <w:r>
        <w:rPr>
          <w:rFonts w:ascii="Calibri" w:hAnsi="Calibri"/>
          <w:color w:val="111111"/>
          <w:sz w:val="22"/>
        </w:rPr>
        <w:t>The challenge required linking noisy business records from Sources 2 and 3 to a deduplicated Source 1 reference set. We built an auditable matching pipeline, ran large-scale data and submission work on AWS infrastructure, and packaged the code, notebooks, outputs, and documentation for reproduction.</w:t>
      </w:r>
    </w:p>
    <w:tbl>
      <w:tblPr>
        <w:tblStyle w:val="TableGrid"/>
        <w:tblW w:type="dxa" w:w="9360"/>
        <w:jc w:val="left"/>
        <w:tblLayout w:type="fixed"/>
        <w:tblLook w:firstColumn="1" w:firstRow="1" w:lastColumn="0" w:lastRow="0" w:noHBand="0" w:noVBand="1" w:val="04A0"/>
        <w:tblInd w:w="120" w:type="dxa"/>
        <w:tblInd w:w="120" w:type="dxa"/>
      </w:tblPr>
      <w:tblGrid>
        <w:gridCol w:w="3600"/>
        <w:gridCol w:w="5760"/>
      </w:tblGrid>
      <w:tr>
        <w:tc>
          <w:tcPr>
            <w:tcW w:type="dxa" w:w="3600"/>
            <w:tcMar>
              <w:top w:w="80" w:type="dxa"/>
              <w:start w:w="120" w:type="dxa"/>
              <w:bottom w:w="80" w:type="dxa"/>
              <w:end w:w="120" w:type="dxa"/>
            </w:tcMar>
            <w:vAlign w:val="center"/>
            <w:shd w:fill="E8EEF5"/>
          </w:tcPr>
          <w:p>
            <w:pPr>
              <w:spacing w:after="0"/>
            </w:pPr>
            <w:r>
              <w:rPr>
                <w:rFonts w:ascii="Calibri" w:hAnsi="Calibri"/>
                <w:b/>
                <w:color w:val="1F4D78"/>
                <w:sz w:val="19"/>
              </w:rPr>
              <w:t>Measured result</w:t>
            </w:r>
          </w:p>
        </w:tc>
        <w:tc>
          <w:tcPr>
            <w:tcW w:type="dxa" w:w="5760"/>
            <w:tcMar>
              <w:top w:w="80" w:type="dxa"/>
              <w:start w:w="120" w:type="dxa"/>
              <w:bottom w:w="80" w:type="dxa"/>
              <w:end w:w="120" w:type="dxa"/>
            </w:tcMar>
            <w:vAlign w:val="center"/>
            <w:shd w:fill="E8EEF5"/>
          </w:tcPr>
          <w:p>
            <w:pPr>
              <w:spacing w:after="0"/>
            </w:pPr>
            <w:r>
              <w:rPr>
                <w:rFonts w:ascii="Calibri" w:hAnsi="Calibri"/>
                <w:b/>
                <w:color w:val="1F4D78"/>
                <w:sz w:val="19"/>
              </w:rPr>
              <w:t>Value</w:t>
            </w:r>
          </w:p>
        </w:tc>
      </w:tr>
      <w:tr>
        <w:tc>
          <w:tcPr>
            <w:tcW w:type="dxa" w:w="3600"/>
            <w:tcMar>
              <w:top w:w="80" w:type="dxa"/>
              <w:start w:w="120" w:type="dxa"/>
              <w:bottom w:w="80" w:type="dxa"/>
              <w:end w:w="120" w:type="dxa"/>
            </w:tcMar>
            <w:vAlign w:val="center"/>
          </w:tcPr>
          <w:p>
            <w:pPr>
              <w:spacing w:after="0"/>
            </w:pPr>
            <w:r>
              <w:rPr>
                <w:rFonts w:ascii="Calibri" w:hAnsi="Calibri"/>
                <w:color w:val="111111"/>
                <w:sz w:val="18"/>
              </w:rPr>
              <w:t>Held-out macro F₀.₅</w:t>
            </w:r>
          </w:p>
        </w:tc>
        <w:tc>
          <w:tcPr>
            <w:tcW w:type="dxa" w:w="5760"/>
            <w:tcMar>
              <w:top w:w="80" w:type="dxa"/>
              <w:start w:w="120" w:type="dxa"/>
              <w:bottom w:w="80" w:type="dxa"/>
              <w:end w:w="120" w:type="dxa"/>
            </w:tcMar>
            <w:vAlign w:val="center"/>
          </w:tcPr>
          <w:p>
            <w:pPr>
              <w:spacing w:after="0"/>
            </w:pPr>
            <w:r>
              <w:rPr>
                <w:rFonts w:ascii="Calibri" w:hAnsi="Calibri"/>
                <w:color w:val="111111"/>
                <w:sz w:val="18"/>
              </w:rPr>
              <w:t>0.141762</w:t>
            </w:r>
          </w:p>
        </w:tc>
      </w:tr>
      <w:tr>
        <w:tc>
          <w:tcPr>
            <w:tcW w:type="dxa" w:w="3600"/>
            <w:tcMar>
              <w:top w:w="80" w:type="dxa"/>
              <w:start w:w="120" w:type="dxa"/>
              <w:bottom w:w="80" w:type="dxa"/>
              <w:end w:w="120" w:type="dxa"/>
            </w:tcMar>
            <w:vAlign w:val="center"/>
          </w:tcPr>
          <w:p>
            <w:pPr>
              <w:spacing w:after="0"/>
            </w:pPr>
            <w:r>
              <w:rPr>
                <w:rFonts w:ascii="Calibri" w:hAnsi="Calibri"/>
                <w:color w:val="111111"/>
                <w:sz w:val="18"/>
              </w:rPr>
              <w:t>Baseline macro F₀.₅</w:t>
            </w:r>
          </w:p>
        </w:tc>
        <w:tc>
          <w:tcPr>
            <w:tcW w:type="dxa" w:w="5760"/>
            <w:tcMar>
              <w:top w:w="80" w:type="dxa"/>
              <w:start w:w="120" w:type="dxa"/>
              <w:bottom w:w="80" w:type="dxa"/>
              <w:end w:w="120" w:type="dxa"/>
            </w:tcMar>
            <w:vAlign w:val="center"/>
          </w:tcPr>
          <w:p>
            <w:pPr>
              <w:spacing w:after="0"/>
            </w:pPr>
            <w:r>
              <w:rPr>
                <w:rFonts w:ascii="Calibri" w:hAnsi="Calibri"/>
                <w:color w:val="111111"/>
                <w:sz w:val="18"/>
              </w:rPr>
              <w:t>0.125270</w:t>
            </w:r>
          </w:p>
        </w:tc>
      </w:tr>
      <w:tr>
        <w:tc>
          <w:tcPr>
            <w:tcW w:type="dxa" w:w="3600"/>
            <w:tcMar>
              <w:top w:w="80" w:type="dxa"/>
              <w:start w:w="120" w:type="dxa"/>
              <w:bottom w:w="80" w:type="dxa"/>
              <w:end w:w="120" w:type="dxa"/>
            </w:tcMar>
            <w:vAlign w:val="center"/>
          </w:tcPr>
          <w:p>
            <w:pPr>
              <w:spacing w:after="0"/>
            </w:pPr>
            <w:r>
              <w:rPr>
                <w:rFonts w:ascii="Calibri" w:hAnsi="Calibri"/>
                <w:color w:val="111111"/>
                <w:sz w:val="18"/>
              </w:rPr>
              <w:t>Improvement</w:t>
            </w:r>
          </w:p>
        </w:tc>
        <w:tc>
          <w:tcPr>
            <w:tcW w:type="dxa" w:w="5760"/>
            <w:tcMar>
              <w:top w:w="80" w:type="dxa"/>
              <w:start w:w="120" w:type="dxa"/>
              <w:bottom w:w="80" w:type="dxa"/>
              <w:end w:w="120" w:type="dxa"/>
            </w:tcMar>
            <w:vAlign w:val="center"/>
          </w:tcPr>
          <w:p>
            <w:pPr>
              <w:spacing w:after="0"/>
            </w:pPr>
            <w:r>
              <w:rPr>
                <w:rFonts w:ascii="Calibri" w:hAnsi="Calibri"/>
                <w:color w:val="111111"/>
                <w:sz w:val="18"/>
              </w:rPr>
              <w:t>+0.016492</w:t>
            </w:r>
          </w:p>
        </w:tc>
      </w:tr>
      <w:tr>
        <w:tc>
          <w:tcPr>
            <w:tcW w:type="dxa" w:w="3600"/>
            <w:tcMar>
              <w:top w:w="80" w:type="dxa"/>
              <w:start w:w="120" w:type="dxa"/>
              <w:bottom w:w="80" w:type="dxa"/>
              <w:end w:w="120" w:type="dxa"/>
            </w:tcMar>
            <w:vAlign w:val="center"/>
          </w:tcPr>
          <w:p>
            <w:pPr>
              <w:spacing w:after="0"/>
            </w:pPr>
            <w:r>
              <w:rPr>
                <w:rFonts w:ascii="Calibri" w:hAnsi="Calibri"/>
                <w:color w:val="111111"/>
                <w:sz w:val="18"/>
              </w:rPr>
              <w:t>Required Source 1 test rows</w:t>
            </w:r>
          </w:p>
        </w:tc>
        <w:tc>
          <w:tcPr>
            <w:tcW w:type="dxa" w:w="5760"/>
            <w:tcMar>
              <w:top w:w="80" w:type="dxa"/>
              <w:start w:w="120" w:type="dxa"/>
              <w:bottom w:w="80" w:type="dxa"/>
              <w:end w:w="120" w:type="dxa"/>
            </w:tcMar>
            <w:vAlign w:val="center"/>
          </w:tcPr>
          <w:p>
            <w:pPr>
              <w:spacing w:after="0"/>
            </w:pPr>
            <w:r>
              <w:rPr>
                <w:rFonts w:ascii="Calibri" w:hAnsi="Calibri"/>
                <w:color w:val="111111"/>
                <w:sz w:val="18"/>
              </w:rPr>
              <w:t>1,732,544</w:t>
            </w:r>
          </w:p>
        </w:tc>
      </w:tr>
      <w:tr>
        <w:tc>
          <w:tcPr>
            <w:tcW w:type="dxa" w:w="3600"/>
            <w:tcMar>
              <w:top w:w="80" w:type="dxa"/>
              <w:start w:w="120" w:type="dxa"/>
              <w:bottom w:w="80" w:type="dxa"/>
              <w:end w:w="120" w:type="dxa"/>
            </w:tcMar>
            <w:vAlign w:val="center"/>
          </w:tcPr>
          <w:p>
            <w:pPr>
              <w:spacing w:after="0"/>
            </w:pPr>
            <w:r>
              <w:rPr>
                <w:rFonts w:ascii="Calibri" w:hAnsi="Calibri"/>
                <w:color w:val="111111"/>
                <w:sz w:val="18"/>
              </w:rPr>
              <w:t>Non-empty final predictions</w:t>
            </w:r>
          </w:p>
        </w:tc>
        <w:tc>
          <w:tcPr>
            <w:tcW w:type="dxa" w:w="5760"/>
            <w:tcMar>
              <w:top w:w="80" w:type="dxa"/>
              <w:start w:w="120" w:type="dxa"/>
              <w:bottom w:w="80" w:type="dxa"/>
              <w:end w:w="120" w:type="dxa"/>
            </w:tcMar>
            <w:vAlign w:val="center"/>
          </w:tcPr>
          <w:p>
            <w:pPr>
              <w:spacing w:after="0"/>
            </w:pPr>
            <w:r>
              <w:rPr>
                <w:rFonts w:ascii="Calibri" w:hAnsi="Calibri"/>
                <w:color w:val="111111"/>
                <w:sz w:val="18"/>
              </w:rPr>
              <w:t>218,189</w:t>
            </w:r>
          </w:p>
        </w:tc>
      </w:tr>
      <w:tr>
        <w:tc>
          <w:tcPr>
            <w:tcW w:type="dxa" w:w="3600"/>
            <w:tcMar>
              <w:top w:w="80" w:type="dxa"/>
              <w:start w:w="120" w:type="dxa"/>
              <w:bottom w:w="80" w:type="dxa"/>
              <w:end w:w="120" w:type="dxa"/>
            </w:tcMar>
            <w:vAlign w:val="center"/>
          </w:tcPr>
          <w:p>
            <w:pPr>
              <w:spacing w:after="0"/>
            </w:pPr>
            <w:r>
              <w:rPr>
                <w:rFonts w:ascii="Calibri" w:hAnsi="Calibri"/>
                <w:color w:val="111111"/>
                <w:sz w:val="18"/>
              </w:rPr>
              <w:t>Submission validation</w:t>
            </w:r>
          </w:p>
        </w:tc>
        <w:tc>
          <w:tcPr>
            <w:tcW w:type="dxa" w:w="5760"/>
            <w:tcMar>
              <w:top w:w="80" w:type="dxa"/>
              <w:start w:w="120" w:type="dxa"/>
              <w:bottom w:w="80" w:type="dxa"/>
              <w:end w:w="120" w:type="dxa"/>
            </w:tcMar>
            <w:vAlign w:val="center"/>
          </w:tcPr>
          <w:p>
            <w:pPr>
              <w:spacing w:after="0"/>
            </w:pPr>
            <w:r>
              <w:rPr>
                <w:rFonts w:ascii="Calibri" w:hAnsi="Calibri"/>
                <w:color w:val="111111"/>
                <w:sz w:val="18"/>
              </w:rPr>
              <w:t>PASS</w:t>
            </w:r>
          </w:p>
        </w:tc>
      </w:tr>
    </w:tbl>
    <w:p>
      <w:pPr>
        <w:spacing w:after="40"/>
      </w:pPr>
    </w:p>
    <w:p>
      <w:r>
        <w:rPr>
          <w:rFonts w:ascii="Calibri" w:hAnsi="Calibri"/>
          <w:color w:val="111111"/>
          <w:sz w:val="22"/>
        </w:rPr>
        <w:t>Important accuracy note: the shipped solution is a deterministic rule-based matcher; it does not claim that a neural model was trained. SageMaker-based GBM and neural reranking are documented as the scalable next-stage architecture and training plan.</w:t>
      </w:r>
    </w:p>
    <w:p>
      <w:r>
        <w:br w:type="page"/>
      </w:r>
    </w:p>
    <w:p>
      <w:pPr>
        <w:pStyle w:val="Heading1"/>
        <w:keepNext/>
      </w:pPr>
      <w:r>
        <w:rPr>
          <w:rFonts w:ascii="Calibri" w:hAnsi="Calibri"/>
          <w:b/>
          <w:color w:val="2E74B5"/>
          <w:sz w:val="32"/>
        </w:rPr>
        <w:t>1. Challenge, data, and solution delivered</w:t>
      </w:r>
    </w:p>
    <w:p>
      <w:pPr>
        <w:pStyle w:val="Heading2"/>
        <w:keepNext/>
      </w:pPr>
      <w:r>
        <w:rPr>
          <w:rFonts w:ascii="Calibri" w:hAnsi="Calibri"/>
          <w:b/>
          <w:color w:val="2E74B5"/>
          <w:sz w:val="26"/>
        </w:rPr>
        <w:t>Problem statement</w:t>
      </w:r>
    </w:p>
    <w:p>
      <w:r>
        <w:rPr>
          <w:rFonts w:ascii="Calibri" w:hAnsi="Calibri"/>
          <w:color w:val="111111"/>
          <w:sz w:val="22"/>
        </w:rPr>
        <w:t>This is a one-to-many business entity-resolution task. A Source 1 business can correspond to zero or more noisy records in Sources 2 and 3. The records have no shared identifier and contain variations in business name, address, spelling, punctuation, legal suffixes, abbreviations, language/script, and token order.</w:t>
      </w:r>
    </w:p>
    <w:p>
      <w:pPr>
        <w:pStyle w:val="Heading2"/>
        <w:keepNext/>
      </w:pPr>
      <w:r>
        <w:rPr>
          <w:rFonts w:ascii="Calibri" w:hAnsi="Calibri"/>
          <w:b/>
          <w:color w:val="2E74B5"/>
          <w:sz w:val="26"/>
        </w:rPr>
        <w:t>Data scale and measured findings</w:t>
      </w:r>
    </w:p>
    <w:tbl>
      <w:tblPr>
        <w:tblStyle w:val="TableGrid"/>
        <w:tblW w:type="dxa" w:w="9360"/>
        <w:jc w:val="left"/>
        <w:tblLayout w:type="fixed"/>
        <w:tblLook w:firstColumn="1" w:firstRow="1" w:lastColumn="0" w:lastRow="0" w:noHBand="0" w:noVBand="1" w:val="04A0"/>
        <w:tblInd w:w="120" w:type="dxa"/>
        <w:tblInd w:w="120" w:type="dxa"/>
      </w:tblPr>
      <w:tblGrid>
        <w:gridCol w:w="1800"/>
        <w:gridCol w:w="2520"/>
        <w:gridCol w:w="2520"/>
        <w:gridCol w:w="2520"/>
      </w:tblGrid>
      <w:tr>
        <w:tc>
          <w:tcPr>
            <w:tcW w:type="dxa" w:w="1800"/>
            <w:tcMar>
              <w:top w:w="80" w:type="dxa"/>
              <w:start w:w="120" w:type="dxa"/>
              <w:bottom w:w="80" w:type="dxa"/>
              <w:end w:w="120" w:type="dxa"/>
            </w:tcMar>
            <w:vAlign w:val="center"/>
            <w:shd w:fill="E8EEF5"/>
          </w:tcPr>
          <w:p>
            <w:pPr>
              <w:spacing w:after="0"/>
            </w:pPr>
            <w:r>
              <w:rPr>
                <w:rFonts w:ascii="Calibri" w:hAnsi="Calibri"/>
                <w:b/>
                <w:color w:val="1F4D78"/>
                <w:sz w:val="19"/>
              </w:rPr>
              <w:t>Dataset</w:t>
            </w:r>
          </w:p>
        </w:tc>
        <w:tc>
          <w:tcPr>
            <w:tcW w:type="dxa" w:w="2520"/>
            <w:tcMar>
              <w:top w:w="80" w:type="dxa"/>
              <w:start w:w="120" w:type="dxa"/>
              <w:bottom w:w="80" w:type="dxa"/>
              <w:end w:w="120" w:type="dxa"/>
            </w:tcMar>
            <w:vAlign w:val="center"/>
            <w:shd w:fill="E8EEF5"/>
          </w:tcPr>
          <w:p>
            <w:pPr>
              <w:spacing w:after="0"/>
            </w:pPr>
            <w:r>
              <w:rPr>
                <w:rFonts w:ascii="Calibri" w:hAnsi="Calibri"/>
                <w:b/>
                <w:color w:val="1F4D78"/>
                <w:sz w:val="19"/>
              </w:rPr>
              <w:t>Source 1</w:t>
            </w:r>
          </w:p>
        </w:tc>
        <w:tc>
          <w:tcPr>
            <w:tcW w:type="dxa" w:w="2520"/>
            <w:tcMar>
              <w:top w:w="80" w:type="dxa"/>
              <w:start w:w="120" w:type="dxa"/>
              <w:bottom w:w="80" w:type="dxa"/>
              <w:end w:w="120" w:type="dxa"/>
            </w:tcMar>
            <w:vAlign w:val="center"/>
            <w:shd w:fill="E8EEF5"/>
          </w:tcPr>
          <w:p>
            <w:pPr>
              <w:spacing w:after="0"/>
            </w:pPr>
            <w:r>
              <w:rPr>
                <w:rFonts w:ascii="Calibri" w:hAnsi="Calibri"/>
                <w:b/>
                <w:color w:val="1F4D78"/>
                <w:sz w:val="19"/>
              </w:rPr>
              <w:t>Source 2</w:t>
            </w:r>
          </w:p>
        </w:tc>
        <w:tc>
          <w:tcPr>
            <w:tcW w:type="dxa" w:w="2520"/>
            <w:tcMar>
              <w:top w:w="80" w:type="dxa"/>
              <w:start w:w="120" w:type="dxa"/>
              <w:bottom w:w="80" w:type="dxa"/>
              <w:end w:w="120" w:type="dxa"/>
            </w:tcMar>
            <w:vAlign w:val="center"/>
            <w:shd w:fill="E8EEF5"/>
          </w:tcPr>
          <w:p>
            <w:pPr>
              <w:spacing w:after="0"/>
            </w:pPr>
            <w:r>
              <w:rPr>
                <w:rFonts w:ascii="Calibri" w:hAnsi="Calibri"/>
                <w:b/>
                <w:color w:val="1F4D78"/>
                <w:sz w:val="19"/>
              </w:rPr>
              <w:t>Source 3</w:t>
            </w:r>
          </w:p>
        </w:tc>
      </w:tr>
      <w:tr>
        <w:tc>
          <w:tcPr>
            <w:tcW w:type="dxa" w:w="1800"/>
            <w:tcMar>
              <w:top w:w="80" w:type="dxa"/>
              <w:start w:w="120" w:type="dxa"/>
              <w:bottom w:w="80" w:type="dxa"/>
              <w:end w:w="120" w:type="dxa"/>
            </w:tcMar>
            <w:vAlign w:val="center"/>
          </w:tcPr>
          <w:p>
            <w:pPr>
              <w:spacing w:after="0"/>
            </w:pPr>
            <w:r>
              <w:rPr>
                <w:rFonts w:ascii="Calibri" w:hAnsi="Calibri"/>
                <w:color w:val="111111"/>
                <w:sz w:val="18"/>
              </w:rPr>
              <w:t>Training rows</w:t>
            </w:r>
          </w:p>
        </w:tc>
        <w:tc>
          <w:tcPr>
            <w:tcW w:type="dxa" w:w="2520"/>
            <w:tcMar>
              <w:top w:w="80" w:type="dxa"/>
              <w:start w:w="120" w:type="dxa"/>
              <w:bottom w:w="80" w:type="dxa"/>
              <w:end w:w="120" w:type="dxa"/>
            </w:tcMar>
            <w:vAlign w:val="center"/>
          </w:tcPr>
          <w:p>
            <w:pPr>
              <w:spacing w:after="0"/>
            </w:pPr>
            <w:r>
              <w:rPr>
                <w:rFonts w:ascii="Calibri" w:hAnsi="Calibri"/>
                <w:color w:val="111111"/>
                <w:sz w:val="18"/>
              </w:rPr>
              <w:t>2,206,821</w:t>
            </w:r>
          </w:p>
        </w:tc>
        <w:tc>
          <w:tcPr>
            <w:tcW w:type="dxa" w:w="2520"/>
            <w:tcMar>
              <w:top w:w="80" w:type="dxa"/>
              <w:start w:w="120" w:type="dxa"/>
              <w:bottom w:w="80" w:type="dxa"/>
              <w:end w:w="120" w:type="dxa"/>
            </w:tcMar>
            <w:vAlign w:val="center"/>
          </w:tcPr>
          <w:p>
            <w:pPr>
              <w:spacing w:after="0"/>
            </w:pPr>
            <w:r>
              <w:rPr>
                <w:rFonts w:ascii="Calibri" w:hAnsi="Calibri"/>
                <w:color w:val="111111"/>
                <w:sz w:val="18"/>
              </w:rPr>
              <w:t>5,034,616</w:t>
            </w:r>
          </w:p>
        </w:tc>
        <w:tc>
          <w:tcPr>
            <w:tcW w:type="dxa" w:w="2520"/>
            <w:tcMar>
              <w:top w:w="80" w:type="dxa"/>
              <w:start w:w="120" w:type="dxa"/>
              <w:bottom w:w="80" w:type="dxa"/>
              <w:end w:w="120" w:type="dxa"/>
            </w:tcMar>
            <w:vAlign w:val="center"/>
          </w:tcPr>
          <w:p>
            <w:pPr>
              <w:spacing w:after="0"/>
            </w:pPr>
            <w:r>
              <w:rPr>
                <w:rFonts w:ascii="Calibri" w:hAnsi="Calibri"/>
                <w:color w:val="111111"/>
                <w:sz w:val="18"/>
              </w:rPr>
              <w:t>5,285,603</w:t>
            </w:r>
          </w:p>
        </w:tc>
      </w:tr>
      <w:tr>
        <w:tc>
          <w:tcPr>
            <w:tcW w:type="dxa" w:w="1800"/>
            <w:tcMar>
              <w:top w:w="80" w:type="dxa"/>
              <w:start w:w="120" w:type="dxa"/>
              <w:bottom w:w="80" w:type="dxa"/>
              <w:end w:w="120" w:type="dxa"/>
            </w:tcMar>
            <w:vAlign w:val="center"/>
          </w:tcPr>
          <w:p>
            <w:pPr>
              <w:spacing w:after="0"/>
            </w:pPr>
            <w:r>
              <w:rPr>
                <w:rFonts w:ascii="Calibri" w:hAnsi="Calibri"/>
                <w:color w:val="111111"/>
                <w:sz w:val="18"/>
              </w:rPr>
              <w:t>Test rows</w:t>
            </w:r>
          </w:p>
        </w:tc>
        <w:tc>
          <w:tcPr>
            <w:tcW w:type="dxa" w:w="2520"/>
            <w:tcMar>
              <w:top w:w="80" w:type="dxa"/>
              <w:start w:w="120" w:type="dxa"/>
              <w:bottom w:w="80" w:type="dxa"/>
              <w:end w:w="120" w:type="dxa"/>
            </w:tcMar>
            <w:vAlign w:val="center"/>
          </w:tcPr>
          <w:p>
            <w:pPr>
              <w:spacing w:after="0"/>
            </w:pPr>
            <w:r>
              <w:rPr>
                <w:rFonts w:ascii="Calibri" w:hAnsi="Calibri"/>
                <w:color w:val="111111"/>
                <w:sz w:val="18"/>
              </w:rPr>
              <w:t>1,732,544</w:t>
            </w:r>
          </w:p>
        </w:tc>
        <w:tc>
          <w:tcPr>
            <w:tcW w:type="dxa" w:w="2520"/>
            <w:tcMar>
              <w:top w:w="80" w:type="dxa"/>
              <w:start w:w="120" w:type="dxa"/>
              <w:bottom w:w="80" w:type="dxa"/>
              <w:end w:w="120" w:type="dxa"/>
            </w:tcMar>
            <w:vAlign w:val="center"/>
          </w:tcPr>
          <w:p>
            <w:pPr>
              <w:spacing w:after="0"/>
            </w:pPr>
            <w:r>
              <w:rPr>
                <w:rFonts w:ascii="Calibri" w:hAnsi="Calibri"/>
                <w:color w:val="111111"/>
                <w:sz w:val="18"/>
              </w:rPr>
              <w:t>4,887,273</w:t>
            </w:r>
          </w:p>
        </w:tc>
        <w:tc>
          <w:tcPr>
            <w:tcW w:type="dxa" w:w="2520"/>
            <w:tcMar>
              <w:top w:w="80" w:type="dxa"/>
              <w:start w:w="120" w:type="dxa"/>
              <w:bottom w:w="80" w:type="dxa"/>
              <w:end w:w="120" w:type="dxa"/>
            </w:tcMar>
            <w:vAlign w:val="center"/>
          </w:tcPr>
          <w:p>
            <w:pPr>
              <w:spacing w:after="0"/>
            </w:pPr>
            <w:r>
              <w:rPr>
                <w:rFonts w:ascii="Calibri" w:hAnsi="Calibri"/>
                <w:color w:val="111111"/>
                <w:sz w:val="18"/>
              </w:rPr>
              <w:t>5,082,316</w:t>
            </w:r>
          </w:p>
        </w:tc>
      </w:tr>
    </w:tbl>
    <w:p>
      <w:pPr>
        <w:spacing w:after="40"/>
      </w:pPr>
    </w:p>
    <w:p>
      <w:pPr>
        <w:pStyle w:val="ListBullet"/>
        <w:spacing w:after="80"/>
      </w:pPr>
      <w:r>
        <w:rPr>
          <w:rFonts w:ascii="Calibri" w:hAnsi="Calibri"/>
          <w:color w:val="111111"/>
          <w:sz w:val="22"/>
        </w:rPr>
        <w:t>7,638,365 labelled positive training pairs; average 3.46 matches per Source 1 entity.</w:t>
      </w:r>
    </w:p>
    <w:p>
      <w:pPr>
        <w:pStyle w:val="ListBullet"/>
        <w:spacing w:after="80"/>
      </w:pPr>
      <w:r>
        <w:rPr>
          <w:rFonts w:ascii="Calibri" w:hAnsi="Calibri"/>
          <w:color w:val="111111"/>
          <w:sz w:val="22"/>
        </w:rPr>
        <w:t>No duplicate matched Source 2/3 IDs were found in the training ground truth, supporting a strict exclusivity constraint.</w:t>
      </w:r>
    </w:p>
    <w:p>
      <w:pPr>
        <w:pStyle w:val="ListBullet"/>
        <w:spacing w:after="80"/>
      </w:pPr>
      <w:r>
        <w:rPr>
          <w:rFonts w:ascii="Calibri" w:hAnsi="Calibri"/>
          <w:color w:val="111111"/>
          <w:sz w:val="22"/>
        </w:rPr>
        <w:t>No cross-country matches were observed in the sampled ground truth, so matching was country-partitioned without hard-coding country labels.</w:t>
      </w:r>
    </w:p>
    <w:p>
      <w:pPr>
        <w:pStyle w:val="ListBullet"/>
        <w:spacing w:after="80"/>
      </w:pPr>
      <w:r>
        <w:rPr>
          <w:rFonts w:ascii="Calibri" w:hAnsi="Calibri"/>
          <w:color w:val="111111"/>
          <w:sz w:val="22"/>
        </w:rPr>
        <w:t>14.9% of true pairs shared no name token, but the sampled true pairs always shared a name or address token; this supports a name-plus-address retrieval strategy.</w:t>
      </w:r>
    </w:p>
    <w:p>
      <w:pPr>
        <w:pStyle w:val="Heading2"/>
        <w:keepNext/>
      </w:pPr>
      <w:r>
        <w:rPr>
          <w:rFonts w:ascii="Calibri" w:hAnsi="Calibri"/>
          <w:b/>
          <w:color w:val="2E74B5"/>
          <w:sz w:val="26"/>
        </w:rPr>
        <w:t>Final submission method</w:t>
      </w:r>
    </w:p>
    <w:p>
      <w:pPr>
        <w:pStyle w:val="ListNumber"/>
        <w:spacing w:after="80"/>
      </w:pPr>
      <w:r>
        <w:rPr>
          <w:rFonts w:ascii="Calibri" w:hAnsi="Calibri"/>
          <w:color w:val="111111"/>
          <w:sz w:val="22"/>
        </w:rPr>
        <w:t>Normalize business names: lowercasing, punctuation handling, Latin-diacritic folding, placeholder removal, organizer-provided legal-suffix handling, and &amp;/and equivalence.</w:t>
      </w:r>
    </w:p>
    <w:p>
      <w:pPr>
        <w:pStyle w:val="ListNumber"/>
        <w:spacing w:after="80"/>
      </w:pPr>
      <w:r>
        <w:rPr>
          <w:rFonts w:ascii="Calibri" w:hAnsi="Calibri"/>
          <w:color w:val="111111"/>
          <w:sz w:val="22"/>
        </w:rPr>
        <w:t>Normalize addresses: tokenization, placeholder removal, order-invariant keys, and organizer-provided Rd/Road and St/Street canonicalization.</w:t>
      </w:r>
    </w:p>
    <w:p>
      <w:pPr>
        <w:pStyle w:val="ListNumber"/>
        <w:spacing w:after="80"/>
      </w:pPr>
      <w:r>
        <w:rPr>
          <w:rFonts w:ascii="Calibri" w:hAnsi="Calibri"/>
          <w:color w:val="111111"/>
          <w:sz w:val="22"/>
        </w:rPr>
        <w:t>Generate an exact joint key: (country, normalized name key, normalized address key).</w:t>
      </w:r>
    </w:p>
    <w:p>
      <w:pPr>
        <w:pStyle w:val="ListNumber"/>
        <w:spacing w:after="80"/>
      </w:pPr>
      <w:r>
        <w:rPr>
          <w:rFonts w:ascii="Calibri" w:hAnsi="Calibri"/>
          <w:color w:val="111111"/>
          <w:sz w:val="22"/>
        </w:rPr>
        <w:t>Accept only exact joint-key candidates and apply global exclusivity so an S2/S3 ID is assigned at most once.</w:t>
      </w:r>
    </w:p>
    <w:p>
      <w:pPr>
        <w:pStyle w:val="ListNumber"/>
        <w:spacing w:after="80"/>
      </w:pPr>
      <w:r>
        <w:rPr>
          <w:rFonts w:ascii="Calibri" w:hAnsi="Calibri"/>
          <w:color w:val="111111"/>
          <w:sz w:val="22"/>
        </w:rPr>
        <w:t>Write matching_results.tsv and candidate_pairs.tsv, then verify them with the organizer-supplied validator.</w:t>
      </w:r>
    </w:p>
    <w:p>
      <w:r>
        <w:br w:type="page"/>
      </w:r>
    </w:p>
    <w:p>
      <w:pPr>
        <w:pStyle w:val="Heading1"/>
        <w:keepNext/>
      </w:pPr>
      <w:r>
        <w:rPr>
          <w:rFonts w:ascii="Calibri" w:hAnsi="Calibri"/>
          <w:b/>
          <w:color w:val="2E74B5"/>
          <w:sz w:val="32"/>
        </w:rPr>
        <w:t>2. AWS work completed and reproducible workflow</w:t>
      </w:r>
    </w:p>
    <w:p>
      <w:pPr>
        <w:pStyle w:val="Heading2"/>
        <w:keepNext/>
      </w:pPr>
      <w:r>
        <w:rPr>
          <w:rFonts w:ascii="Calibri" w:hAnsi="Calibri"/>
          <w:b/>
          <w:color w:val="2E74B5"/>
          <w:sz w:val="26"/>
        </w:rPr>
        <w:t>Amazon SageMaker AI</w:t>
      </w:r>
    </w:p>
    <w:p>
      <w:r>
        <w:rPr>
          <w:rFonts w:ascii="Calibri" w:hAnsi="Calibri"/>
          <w:color w:val="111111"/>
          <w:sz w:val="22"/>
        </w:rPr>
        <w:t>SageMaker AI was used as the notebook-oriented ML execution environment and remains the documented alternative for scale-up. The project is portable between local development, SageMaker Studio JupyterLab, and a SageMaker Notebook Instance through a common configuration cell that detects the runtime and assigns data, artifact, and output paths.</w:t>
      </w:r>
    </w:p>
    <w:tbl>
      <w:tblPr>
        <w:tblStyle w:val="TableGrid"/>
        <w:tblW w:type="dxa" w:w="9360"/>
        <w:jc w:val="left"/>
        <w:tblLayout w:type="fixed"/>
        <w:tblLook w:firstColumn="1" w:firstRow="1" w:lastColumn="0" w:lastRow="0" w:noHBand="0" w:noVBand="1" w:val="04A0"/>
        <w:tblInd w:w="120" w:type="dxa"/>
        <w:tblInd w:w="120" w:type="dxa"/>
      </w:tblPr>
      <w:tblGrid>
        <w:gridCol w:w="2600"/>
        <w:gridCol w:w="6760"/>
      </w:tblGrid>
      <w:tr>
        <w:tc>
          <w:tcPr>
            <w:tcW w:type="dxa" w:w="2600"/>
            <w:tcMar>
              <w:top w:w="80" w:type="dxa"/>
              <w:start w:w="120" w:type="dxa"/>
              <w:bottom w:w="80" w:type="dxa"/>
              <w:end w:w="120" w:type="dxa"/>
            </w:tcMar>
            <w:vAlign w:val="center"/>
            <w:shd w:fill="E8EEF5"/>
          </w:tcPr>
          <w:p>
            <w:pPr>
              <w:spacing w:after="0"/>
            </w:pPr>
            <w:r>
              <w:rPr>
                <w:rFonts w:ascii="Calibri" w:hAnsi="Calibri"/>
                <w:b/>
                <w:color w:val="1F4D78"/>
                <w:sz w:val="19"/>
              </w:rPr>
              <w:t>SageMaker activity</w:t>
            </w:r>
          </w:p>
        </w:tc>
        <w:tc>
          <w:tcPr>
            <w:tcW w:type="dxa" w:w="6760"/>
            <w:tcMar>
              <w:top w:w="80" w:type="dxa"/>
              <w:start w:w="120" w:type="dxa"/>
              <w:bottom w:w="80" w:type="dxa"/>
              <w:end w:w="120" w:type="dxa"/>
            </w:tcMar>
            <w:vAlign w:val="center"/>
            <w:shd w:fill="E8EEF5"/>
          </w:tcPr>
          <w:p>
            <w:pPr>
              <w:spacing w:after="0"/>
            </w:pPr>
            <w:r>
              <w:rPr>
                <w:rFonts w:ascii="Calibri" w:hAnsi="Calibri"/>
                <w:b/>
                <w:color w:val="1F4D78"/>
                <w:sz w:val="19"/>
              </w:rPr>
              <w:t>What to say / show</w:t>
            </w:r>
          </w:p>
        </w:tc>
      </w:tr>
      <w:tr>
        <w:tc>
          <w:tcPr>
            <w:tcW w:type="dxa" w:w="2600"/>
            <w:tcMar>
              <w:top w:w="80" w:type="dxa"/>
              <w:start w:w="120" w:type="dxa"/>
              <w:bottom w:w="80" w:type="dxa"/>
              <w:end w:w="120" w:type="dxa"/>
            </w:tcMar>
            <w:vAlign w:val="center"/>
          </w:tcPr>
          <w:p>
            <w:pPr>
              <w:spacing w:after="0"/>
            </w:pPr>
            <w:r>
              <w:rPr>
                <w:rFonts w:ascii="Calibri" w:hAnsi="Calibri"/>
                <w:color w:val="111111"/>
                <w:sz w:val="18"/>
              </w:rPr>
              <w:t>Notebook environment</w:t>
            </w:r>
          </w:p>
        </w:tc>
        <w:tc>
          <w:tcPr>
            <w:tcW w:type="dxa" w:w="6760"/>
            <w:tcMar>
              <w:top w:w="80" w:type="dxa"/>
              <w:start w:w="120" w:type="dxa"/>
              <w:bottom w:w="80" w:type="dxa"/>
              <w:end w:w="120" w:type="dxa"/>
            </w:tcMar>
            <w:vAlign w:val="center"/>
          </w:tcPr>
          <w:p>
            <w:pPr>
              <w:spacing w:after="0"/>
            </w:pPr>
            <w:r>
              <w:rPr>
                <w:rFonts w:ascii="Calibri" w:hAnsi="Calibri"/>
                <w:color w:val="111111"/>
                <w:sz w:val="18"/>
              </w:rPr>
              <w:t>JupyterLab notebooks for setup, metrics/splits, normalization, blocking, model experiments, decision layer, and submission generation.</w:t>
            </w:r>
          </w:p>
        </w:tc>
      </w:tr>
      <w:tr>
        <w:tc>
          <w:tcPr>
            <w:tcW w:type="dxa" w:w="2600"/>
            <w:tcMar>
              <w:top w:w="80" w:type="dxa"/>
              <w:start w:w="120" w:type="dxa"/>
              <w:bottom w:w="80" w:type="dxa"/>
              <w:end w:w="120" w:type="dxa"/>
            </w:tcMar>
            <w:vAlign w:val="center"/>
          </w:tcPr>
          <w:p>
            <w:pPr>
              <w:spacing w:after="0"/>
            </w:pPr>
            <w:r>
              <w:rPr>
                <w:rFonts w:ascii="Calibri" w:hAnsi="Calibri"/>
                <w:color w:val="111111"/>
                <w:sz w:val="18"/>
              </w:rPr>
              <w:t>Reproducibility</w:t>
            </w:r>
          </w:p>
        </w:tc>
        <w:tc>
          <w:tcPr>
            <w:tcW w:type="dxa" w:w="6760"/>
            <w:tcMar>
              <w:top w:w="80" w:type="dxa"/>
              <w:start w:w="120" w:type="dxa"/>
              <w:bottom w:w="80" w:type="dxa"/>
              <w:end w:w="120" w:type="dxa"/>
            </w:tcMar>
            <w:vAlign w:val="center"/>
          </w:tcPr>
          <w:p>
            <w:pPr>
              <w:spacing w:after="0"/>
            </w:pPr>
            <w:r>
              <w:rPr>
                <w:rFonts w:ascii="Calibri" w:hAnsi="Calibri"/>
                <w:color w:val="111111"/>
                <w:sz w:val="18"/>
              </w:rPr>
              <w:t>Pinned requirements, portable paths, Parquet intermediates, notebook stages, and run logs in artifacts/runs.jsonl.</w:t>
            </w:r>
          </w:p>
        </w:tc>
      </w:tr>
      <w:tr>
        <w:tc>
          <w:tcPr>
            <w:tcW w:type="dxa" w:w="2600"/>
            <w:tcMar>
              <w:top w:w="80" w:type="dxa"/>
              <w:start w:w="120" w:type="dxa"/>
              <w:bottom w:w="80" w:type="dxa"/>
              <w:end w:w="120" w:type="dxa"/>
            </w:tcMar>
            <w:vAlign w:val="center"/>
          </w:tcPr>
          <w:p>
            <w:pPr>
              <w:spacing w:after="0"/>
            </w:pPr>
            <w:r>
              <w:rPr>
                <w:rFonts w:ascii="Calibri" w:hAnsi="Calibri"/>
                <w:color w:val="111111"/>
                <w:sz w:val="18"/>
              </w:rPr>
              <w:t>Compute strategy</w:t>
            </w:r>
          </w:p>
        </w:tc>
        <w:tc>
          <w:tcPr>
            <w:tcW w:type="dxa" w:w="6760"/>
            <w:tcMar>
              <w:top w:w="80" w:type="dxa"/>
              <w:start w:w="120" w:type="dxa"/>
              <w:bottom w:w="80" w:type="dxa"/>
              <w:end w:w="120" w:type="dxa"/>
            </w:tcMar>
            <w:vAlign w:val="center"/>
          </w:tcPr>
          <w:p>
            <w:pPr>
              <w:spacing w:after="0"/>
            </w:pPr>
            <w:r>
              <w:rPr>
                <w:rFonts w:ascii="Calibri" w:hAnsi="Calibri"/>
                <w:color w:val="111111"/>
                <w:sz w:val="18"/>
              </w:rPr>
              <w:t>Small CPU for setup/EDA; high-memory CPU for blocking/features/LightGBM; GPU only for embedding or neural reranker experiments.</w:t>
            </w:r>
          </w:p>
        </w:tc>
      </w:tr>
      <w:tr>
        <w:tc>
          <w:tcPr>
            <w:tcW w:type="dxa" w:w="2600"/>
            <w:tcMar>
              <w:top w:w="80" w:type="dxa"/>
              <w:start w:w="120" w:type="dxa"/>
              <w:bottom w:w="80" w:type="dxa"/>
              <w:end w:w="120" w:type="dxa"/>
            </w:tcMar>
            <w:vAlign w:val="center"/>
          </w:tcPr>
          <w:p>
            <w:pPr>
              <w:spacing w:after="0"/>
            </w:pPr>
            <w:r>
              <w:rPr>
                <w:rFonts w:ascii="Calibri" w:hAnsi="Calibri"/>
                <w:color w:val="111111"/>
                <w:sz w:val="18"/>
              </w:rPr>
              <w:t>Long jobs</w:t>
            </w:r>
          </w:p>
        </w:tc>
        <w:tc>
          <w:tcPr>
            <w:tcW w:type="dxa" w:w="6760"/>
            <w:tcMar>
              <w:top w:w="80" w:type="dxa"/>
              <w:start w:w="120" w:type="dxa"/>
              <w:bottom w:w="80" w:type="dxa"/>
              <w:end w:w="120" w:type="dxa"/>
            </w:tcMar>
            <w:vAlign w:val="center"/>
          </w:tcPr>
          <w:p>
            <w:pPr>
              <w:spacing w:after="0"/>
            </w:pPr>
            <w:r>
              <w:rPr>
                <w:rFonts w:ascii="Calibri" w:hAnsi="Calibri"/>
                <w:color w:val="111111"/>
                <w:sz w:val="18"/>
              </w:rPr>
              <w:t>Terminal-based nohup execution or SageMaker Notebook Scheduler for jobs that should survive browser closure.</w:t>
            </w:r>
          </w:p>
        </w:tc>
      </w:tr>
    </w:tbl>
    <w:p>
      <w:pPr>
        <w:spacing w:after="40"/>
      </w:pPr>
    </w:p>
    <w:p>
      <w:pPr>
        <w:pStyle w:val="Heading2"/>
        <w:keepNext/>
      </w:pPr>
      <w:r>
        <w:rPr>
          <w:rFonts w:ascii="Calibri" w:hAnsi="Calibri"/>
          <w:b/>
          <w:color w:val="2E74B5"/>
          <w:sz w:val="26"/>
        </w:rPr>
        <w:t>EC2 terminal work</w:t>
      </w:r>
    </w:p>
    <w:p>
      <w:r>
        <w:rPr>
          <w:rFonts w:ascii="Calibri" w:hAnsi="Calibri"/>
          <w:color w:val="111111"/>
          <w:sz w:val="22"/>
        </w:rPr>
        <w:t>EC2 became the primary execution runtime for the challenge, using the ber-runner environment under ~/ber with Python 3.12. The terminal was used for environment setup, running notebooks/pipeline commands, validating outputs, viewing logs, and executing memory-bounded mining and blocking pilots.</w:t>
      </w:r>
    </w:p>
    <w:p>
      <w:pPr>
        <w:pStyle w:val="ListBullet"/>
        <w:spacing w:after="80"/>
      </w:pPr>
      <w:r>
        <w:rPr>
          <w:rFonts w:ascii="Calibri" w:hAnsi="Calibri"/>
          <w:color w:val="111111"/>
          <w:sz w:val="22"/>
        </w:rPr>
        <w:t>Use the terminal to demonstrate: repository structure, Python version, dependency installation, output files, artifact logs, and validator command/result.</w:t>
      </w:r>
    </w:p>
    <w:p>
      <w:pPr>
        <w:pStyle w:val="ListBullet"/>
        <w:spacing w:after="80"/>
      </w:pPr>
      <w:r>
        <w:rPr>
          <w:rFonts w:ascii="Calibri" w:hAnsi="Calibri"/>
          <w:color w:val="111111"/>
          <w:sz w:val="22"/>
        </w:rPr>
        <w:t>State the practical constraint: the 8 GiB EC2 machine is suitable for memory-bounded S3 mining and blocking pilots; full feature/model stages need larger CPU memory or GPU capacity.</w:t>
      </w:r>
    </w:p>
    <w:p>
      <w:pPr>
        <w:pStyle w:val="Heading2"/>
        <w:keepNext/>
      </w:pPr>
      <w:r>
        <w:rPr>
          <w:rFonts w:ascii="Calibri" w:hAnsi="Calibri"/>
          <w:b/>
          <w:color w:val="2E74B5"/>
          <w:sz w:val="26"/>
        </w:rPr>
        <w:t>AWS Console and Amazon S3</w:t>
      </w:r>
    </w:p>
    <w:p>
      <w:r>
        <w:rPr>
          <w:rFonts w:ascii="Calibri" w:hAnsi="Calibri"/>
          <w:color w:val="111111"/>
          <w:sz w:val="22"/>
        </w:rPr>
        <w:t>The AWS Console is the control plane for SageMaker domains/spaces, EC2 instances, IAM roles, quotas, storage, and cost visibility. Amazon S3 is the durable data-staging layer: raw challenge data can be uploaded from the local workspace to an S3 bucket, then synchronized into SageMaker/EC2 compute close to the runtime.</w:t>
      </w:r>
    </w:p>
    <w:tbl>
      <w:tblPr>
        <w:tblStyle w:val="TableGrid"/>
        <w:tblW w:type="dxa" w:w="9360"/>
        <w:jc w:val="left"/>
        <w:tblLayout w:type="fixed"/>
        <w:tblLook w:firstColumn="1" w:firstRow="1" w:lastColumn="0" w:lastRow="0" w:noHBand="0" w:noVBand="1" w:val="04A0"/>
        <w:tblInd w:w="120" w:type="dxa"/>
        <w:tblInd w:w="120" w:type="dxa"/>
      </w:tblPr>
      <w:tblGrid>
        <w:gridCol w:w="3000"/>
        <w:gridCol w:w="6360"/>
      </w:tblGrid>
      <w:tr>
        <w:tc>
          <w:tcPr>
            <w:tcW w:type="dxa" w:w="3000"/>
            <w:tcMar>
              <w:top w:w="80" w:type="dxa"/>
              <w:start w:w="120" w:type="dxa"/>
              <w:bottom w:w="80" w:type="dxa"/>
              <w:end w:w="120" w:type="dxa"/>
            </w:tcMar>
            <w:vAlign w:val="center"/>
            <w:shd w:fill="E8EEF5"/>
          </w:tcPr>
          <w:p>
            <w:pPr>
              <w:spacing w:after="0"/>
            </w:pPr>
            <w:r>
              <w:rPr>
                <w:rFonts w:ascii="Calibri" w:hAnsi="Calibri"/>
                <w:b/>
                <w:color w:val="1F4D78"/>
                <w:sz w:val="19"/>
              </w:rPr>
              <w:t>S3 object group</w:t>
            </w:r>
          </w:p>
        </w:tc>
        <w:tc>
          <w:tcPr>
            <w:tcW w:type="dxa" w:w="6360"/>
            <w:tcMar>
              <w:top w:w="80" w:type="dxa"/>
              <w:start w:w="120" w:type="dxa"/>
              <w:bottom w:w="80" w:type="dxa"/>
              <w:end w:w="120" w:type="dxa"/>
            </w:tcMar>
            <w:vAlign w:val="center"/>
            <w:shd w:fill="E8EEF5"/>
          </w:tcPr>
          <w:p>
            <w:pPr>
              <w:spacing w:after="0"/>
            </w:pPr>
            <w:r>
              <w:rPr>
                <w:rFonts w:ascii="Calibri" w:hAnsi="Calibri"/>
                <w:b/>
                <w:color w:val="1F4D78"/>
                <w:sz w:val="19"/>
              </w:rPr>
              <w:t>Purpose</w:t>
            </w:r>
          </w:p>
        </w:tc>
      </w:tr>
      <w:tr>
        <w:tc>
          <w:tcPr>
            <w:tcW w:type="dxa" w:w="3000"/>
            <w:tcMar>
              <w:top w:w="80" w:type="dxa"/>
              <w:start w:w="120" w:type="dxa"/>
              <w:bottom w:w="80" w:type="dxa"/>
              <w:end w:w="120" w:type="dxa"/>
            </w:tcMar>
            <w:vAlign w:val="center"/>
          </w:tcPr>
          <w:p>
            <w:pPr>
              <w:spacing w:after="0"/>
            </w:pPr>
            <w:r>
              <w:rPr>
                <w:rFonts w:ascii="Calibri" w:hAnsi="Calibri"/>
                <w:color w:val="111111"/>
                <w:sz w:val="18"/>
              </w:rPr>
              <w:t>ber/dataset/</w:t>
            </w:r>
          </w:p>
        </w:tc>
        <w:tc>
          <w:tcPr>
            <w:tcW w:type="dxa" w:w="6360"/>
            <w:tcMar>
              <w:top w:w="80" w:type="dxa"/>
              <w:start w:w="120" w:type="dxa"/>
              <w:bottom w:w="80" w:type="dxa"/>
              <w:end w:w="120" w:type="dxa"/>
            </w:tcMar>
            <w:vAlign w:val="center"/>
          </w:tcPr>
          <w:p>
            <w:pPr>
              <w:spacing w:after="0"/>
            </w:pPr>
            <w:r>
              <w:rPr>
                <w:rFonts w:ascii="Calibri" w:hAnsi="Calibri"/>
                <w:color w:val="111111"/>
                <w:sz w:val="18"/>
              </w:rPr>
              <w:t>Training and test TSV data staged for compute.</w:t>
            </w:r>
          </w:p>
        </w:tc>
      </w:tr>
      <w:tr>
        <w:tc>
          <w:tcPr>
            <w:tcW w:type="dxa" w:w="3000"/>
            <w:tcMar>
              <w:top w:w="80" w:type="dxa"/>
              <w:start w:w="120" w:type="dxa"/>
              <w:bottom w:w="80" w:type="dxa"/>
              <w:end w:w="120" w:type="dxa"/>
            </w:tcMar>
            <w:vAlign w:val="center"/>
          </w:tcPr>
          <w:p>
            <w:pPr>
              <w:spacing w:after="0"/>
            </w:pPr>
            <w:r>
              <w:rPr>
                <w:rFonts w:ascii="Calibri" w:hAnsi="Calibri"/>
                <w:color w:val="111111"/>
                <w:sz w:val="18"/>
              </w:rPr>
              <w:t>artifacts/</w:t>
            </w:r>
          </w:p>
        </w:tc>
        <w:tc>
          <w:tcPr>
            <w:tcW w:type="dxa" w:w="6360"/>
            <w:tcMar>
              <w:top w:w="80" w:type="dxa"/>
              <w:start w:w="120" w:type="dxa"/>
              <w:bottom w:w="80" w:type="dxa"/>
              <w:end w:w="120" w:type="dxa"/>
            </w:tcMar>
            <w:vAlign w:val="center"/>
          </w:tcPr>
          <w:p>
            <w:pPr>
              <w:spacing w:after="0"/>
            </w:pPr>
            <w:r>
              <w:rPr>
                <w:rFonts w:ascii="Calibri" w:hAnsi="Calibri"/>
                <w:color w:val="111111"/>
                <w:sz w:val="18"/>
              </w:rPr>
              <w:t>Parquet intermediate outputs, splits, alias tables, and experiment logs.</w:t>
            </w:r>
          </w:p>
        </w:tc>
      </w:tr>
      <w:tr>
        <w:tc>
          <w:tcPr>
            <w:tcW w:type="dxa" w:w="3000"/>
            <w:tcMar>
              <w:top w:w="80" w:type="dxa"/>
              <w:start w:w="120" w:type="dxa"/>
              <w:bottom w:w="80" w:type="dxa"/>
              <w:end w:w="120" w:type="dxa"/>
            </w:tcMar>
            <w:vAlign w:val="center"/>
          </w:tcPr>
          <w:p>
            <w:pPr>
              <w:spacing w:after="0"/>
            </w:pPr>
            <w:r>
              <w:rPr>
                <w:rFonts w:ascii="Calibri" w:hAnsi="Calibri"/>
                <w:color w:val="111111"/>
                <w:sz w:val="18"/>
              </w:rPr>
              <w:t>output/</w:t>
            </w:r>
          </w:p>
        </w:tc>
        <w:tc>
          <w:tcPr>
            <w:tcW w:type="dxa" w:w="6360"/>
            <w:tcMar>
              <w:top w:w="80" w:type="dxa"/>
              <w:start w:w="120" w:type="dxa"/>
              <w:bottom w:w="80" w:type="dxa"/>
              <w:end w:w="120" w:type="dxa"/>
            </w:tcMar>
            <w:vAlign w:val="center"/>
          </w:tcPr>
          <w:p>
            <w:pPr>
              <w:spacing w:after="0"/>
            </w:pPr>
            <w:r>
              <w:rPr>
                <w:rFonts w:ascii="Calibri" w:hAnsi="Calibri"/>
                <w:color w:val="111111"/>
                <w:sz w:val="18"/>
              </w:rPr>
              <w:t>Final matching_results.tsv and candidate_pairs.tsv.</w:t>
            </w:r>
          </w:p>
        </w:tc>
      </w:tr>
      <w:tr>
        <w:tc>
          <w:tcPr>
            <w:tcW w:type="dxa" w:w="3000"/>
            <w:tcMar>
              <w:top w:w="80" w:type="dxa"/>
              <w:start w:w="120" w:type="dxa"/>
              <w:bottom w:w="80" w:type="dxa"/>
              <w:end w:w="120" w:type="dxa"/>
            </w:tcMar>
            <w:vAlign w:val="center"/>
          </w:tcPr>
          <w:p>
            <w:pPr>
              <w:spacing w:after="0"/>
            </w:pPr>
            <w:r>
              <w:rPr>
                <w:rFonts w:ascii="Calibri" w:hAnsi="Calibri"/>
                <w:color w:val="111111"/>
                <w:sz w:val="18"/>
              </w:rPr>
              <w:t>submission package/</w:t>
            </w:r>
          </w:p>
        </w:tc>
        <w:tc>
          <w:tcPr>
            <w:tcW w:type="dxa" w:w="6360"/>
            <w:tcMar>
              <w:top w:w="80" w:type="dxa"/>
              <w:start w:w="120" w:type="dxa"/>
              <w:bottom w:w="80" w:type="dxa"/>
              <w:end w:w="120" w:type="dxa"/>
            </w:tcMar>
            <w:vAlign w:val="center"/>
          </w:tcPr>
          <w:p>
            <w:pPr>
              <w:spacing w:after="0"/>
            </w:pPr>
            <w:r>
              <w:rPr>
                <w:rFonts w:ascii="Calibri" w:hAnsi="Calibri"/>
                <w:color w:val="111111"/>
                <w:sz w:val="18"/>
              </w:rPr>
              <w:t>Code, notebooks, README, requirements, and documentation for audit/reproduction.</w:t>
            </w:r>
          </w:p>
        </w:tc>
      </w:tr>
    </w:tbl>
    <w:p>
      <w:pPr>
        <w:spacing w:after="40"/>
      </w:pPr>
    </w:p>
    <w:p>
      <w:r>
        <w:br w:type="page"/>
      </w:r>
    </w:p>
    <w:p>
      <w:pPr>
        <w:pStyle w:val="Heading1"/>
        <w:keepNext/>
      </w:pPr>
      <w:r>
        <w:rPr>
          <w:rFonts w:ascii="Calibri" w:hAnsi="Calibri"/>
          <w:b/>
          <w:color w:val="2E74B5"/>
          <w:sz w:val="32"/>
        </w:rPr>
        <w:t>3. Model-training vocabulary and scalable ML architecture</w:t>
      </w:r>
    </w:p>
    <w:p>
      <w:r>
        <w:rPr>
          <w:rFonts w:ascii="Calibri" w:hAnsi="Calibri"/>
          <w:color w:val="111111"/>
          <w:sz w:val="22"/>
        </w:rPr>
        <w:t>Use this section in a presentation to explain the full ML design without overstating the final implementation. The rule-based final model is the baseline; the following cascade is the planned/experiment-ready training architecture.</w:t>
      </w:r>
    </w:p>
    <w:p>
      <w:pPr>
        <w:pStyle w:val="Heading2"/>
        <w:keepNext/>
      </w:pPr>
      <w:r>
        <w:rPr>
          <w:rFonts w:ascii="Calibri" w:hAnsi="Calibri"/>
          <w:b/>
          <w:color w:val="2E74B5"/>
          <w:sz w:val="26"/>
        </w:rPr>
        <w:t>Proposed cascade</w:t>
      </w:r>
    </w:p>
    <w:tbl>
      <w:tblPr>
        <w:tblStyle w:val="TableGrid"/>
        <w:tblW w:type="dxa" w:w="9360"/>
        <w:jc w:val="left"/>
        <w:tblLayout w:type="fixed"/>
        <w:tblLook w:firstColumn="1" w:firstRow="1" w:lastColumn="0" w:lastRow="0" w:noHBand="0" w:noVBand="1" w:val="04A0"/>
        <w:tblInd w:w="120" w:type="dxa"/>
        <w:tblInd w:w="120" w:type="dxa"/>
      </w:tblPr>
      <w:tblGrid>
        <w:gridCol w:w="1700"/>
        <w:gridCol w:w="3300"/>
        <w:gridCol w:w="4360"/>
      </w:tblGrid>
      <w:tr>
        <w:tc>
          <w:tcPr>
            <w:tcW w:type="dxa" w:w="1700"/>
            <w:tcMar>
              <w:top w:w="80" w:type="dxa"/>
              <w:start w:w="120" w:type="dxa"/>
              <w:bottom w:w="80" w:type="dxa"/>
              <w:end w:w="120" w:type="dxa"/>
            </w:tcMar>
            <w:vAlign w:val="center"/>
            <w:shd w:fill="E8EEF5"/>
          </w:tcPr>
          <w:p>
            <w:pPr>
              <w:spacing w:after="0"/>
            </w:pPr>
            <w:r>
              <w:rPr>
                <w:rFonts w:ascii="Calibri" w:hAnsi="Calibri"/>
                <w:b/>
                <w:color w:val="1F4D78"/>
                <w:sz w:val="19"/>
              </w:rPr>
              <w:t>Stage</w:t>
            </w:r>
          </w:p>
        </w:tc>
        <w:tc>
          <w:tcPr>
            <w:tcW w:type="dxa" w:w="3300"/>
            <w:tcMar>
              <w:top w:w="80" w:type="dxa"/>
              <w:start w:w="120" w:type="dxa"/>
              <w:bottom w:w="80" w:type="dxa"/>
              <w:end w:w="120" w:type="dxa"/>
            </w:tcMar>
            <w:vAlign w:val="center"/>
            <w:shd w:fill="E8EEF5"/>
          </w:tcPr>
          <w:p>
            <w:pPr>
              <w:spacing w:after="0"/>
            </w:pPr>
            <w:r>
              <w:rPr>
                <w:rFonts w:ascii="Calibri" w:hAnsi="Calibri"/>
                <w:b/>
                <w:color w:val="1F4D78"/>
                <w:sz w:val="19"/>
              </w:rPr>
              <w:t>Purpose</w:t>
            </w:r>
          </w:p>
        </w:tc>
        <w:tc>
          <w:tcPr>
            <w:tcW w:type="dxa" w:w="4360"/>
            <w:tcMar>
              <w:top w:w="80" w:type="dxa"/>
              <w:start w:w="120" w:type="dxa"/>
              <w:bottom w:w="80" w:type="dxa"/>
              <w:end w:w="120" w:type="dxa"/>
            </w:tcMar>
            <w:vAlign w:val="center"/>
            <w:shd w:fill="E8EEF5"/>
          </w:tcPr>
          <w:p>
            <w:pPr>
              <w:spacing w:after="0"/>
            </w:pPr>
            <w:r>
              <w:rPr>
                <w:rFonts w:ascii="Calibri" w:hAnsi="Calibri"/>
                <w:b/>
                <w:color w:val="1F4D78"/>
                <w:sz w:val="19"/>
              </w:rPr>
              <w:t>Key terms</w:t>
            </w:r>
          </w:p>
        </w:tc>
      </w:tr>
      <w:tr>
        <w:tc>
          <w:tcPr>
            <w:tcW w:type="dxa" w:w="1700"/>
            <w:tcMar>
              <w:top w:w="80" w:type="dxa"/>
              <w:start w:w="120" w:type="dxa"/>
              <w:bottom w:w="80" w:type="dxa"/>
              <w:end w:w="120" w:type="dxa"/>
            </w:tcMar>
            <w:vAlign w:val="center"/>
          </w:tcPr>
          <w:p>
            <w:pPr>
              <w:spacing w:after="0"/>
            </w:pPr>
            <w:r>
              <w:rPr>
                <w:rFonts w:ascii="Calibri" w:hAnsi="Calibri"/>
                <w:color w:val="111111"/>
                <w:sz w:val="18"/>
              </w:rPr>
              <w:t>1. Blocking / retrieval</w:t>
            </w:r>
          </w:p>
        </w:tc>
        <w:tc>
          <w:tcPr>
            <w:tcW w:type="dxa" w:w="3300"/>
            <w:tcMar>
              <w:top w:w="80" w:type="dxa"/>
              <w:start w:w="120" w:type="dxa"/>
              <w:bottom w:w="80" w:type="dxa"/>
              <w:end w:w="120" w:type="dxa"/>
            </w:tcMar>
            <w:vAlign w:val="center"/>
          </w:tcPr>
          <w:p>
            <w:pPr>
              <w:spacing w:after="0"/>
            </w:pPr>
            <w:r>
              <w:rPr>
                <w:rFonts w:ascii="Calibri" w:hAnsi="Calibri"/>
                <w:color w:val="111111"/>
                <w:sz w:val="18"/>
              </w:rPr>
              <w:t>Reduce billions of possible record pairs to a manageable candidate set while preserving true matches.</w:t>
            </w:r>
          </w:p>
        </w:tc>
        <w:tc>
          <w:tcPr>
            <w:tcW w:type="dxa" w:w="4360"/>
            <w:tcMar>
              <w:top w:w="80" w:type="dxa"/>
              <w:start w:w="120" w:type="dxa"/>
              <w:bottom w:w="80" w:type="dxa"/>
              <w:end w:w="120" w:type="dxa"/>
            </w:tcMar>
            <w:vAlign w:val="center"/>
          </w:tcPr>
          <w:p>
            <w:pPr>
              <w:spacing w:after="0"/>
            </w:pPr>
            <w:r>
              <w:rPr>
                <w:rFonts w:ascii="Calibri" w:hAnsi="Calibri"/>
                <w:color w:val="111111"/>
                <w:sz w:val="18"/>
              </w:rPr>
              <w:t>candidate generation, inverted index, TF-IDF, char n-grams, recall@K, reduction ratio</w:t>
            </w:r>
          </w:p>
        </w:tc>
      </w:tr>
      <w:tr>
        <w:tc>
          <w:tcPr>
            <w:tcW w:type="dxa" w:w="1700"/>
            <w:tcMar>
              <w:top w:w="80" w:type="dxa"/>
              <w:start w:w="120" w:type="dxa"/>
              <w:bottom w:w="80" w:type="dxa"/>
              <w:end w:w="120" w:type="dxa"/>
            </w:tcMar>
            <w:vAlign w:val="center"/>
          </w:tcPr>
          <w:p>
            <w:pPr>
              <w:spacing w:after="0"/>
            </w:pPr>
            <w:r>
              <w:rPr>
                <w:rFonts w:ascii="Calibri" w:hAnsi="Calibri"/>
                <w:color w:val="111111"/>
                <w:sz w:val="18"/>
              </w:rPr>
              <w:t>2. GBM scorer</w:t>
            </w:r>
          </w:p>
        </w:tc>
        <w:tc>
          <w:tcPr>
            <w:tcW w:type="dxa" w:w="3300"/>
            <w:tcMar>
              <w:top w:w="80" w:type="dxa"/>
              <w:start w:w="120" w:type="dxa"/>
              <w:bottom w:w="80" w:type="dxa"/>
              <w:end w:w="120" w:type="dxa"/>
            </w:tcMar>
            <w:vAlign w:val="center"/>
          </w:tcPr>
          <w:p>
            <w:pPr>
              <w:spacing w:after="0"/>
            </w:pPr>
            <w:r>
              <w:rPr>
                <w:rFonts w:ascii="Calibri" w:hAnsi="Calibri"/>
                <w:color w:val="111111"/>
                <w:sz w:val="18"/>
              </w:rPr>
              <w:t>Score candidate pairs using structured similarity features.</w:t>
            </w:r>
          </w:p>
        </w:tc>
        <w:tc>
          <w:tcPr>
            <w:tcW w:type="dxa" w:w="4360"/>
            <w:tcMar>
              <w:top w:w="80" w:type="dxa"/>
              <w:start w:w="120" w:type="dxa"/>
              <w:bottom w:w="80" w:type="dxa"/>
              <w:end w:w="120" w:type="dxa"/>
            </w:tcMar>
            <w:vAlign w:val="center"/>
          </w:tcPr>
          <w:p>
            <w:pPr>
              <w:spacing w:after="0"/>
            </w:pPr>
            <w:r>
              <w:rPr>
                <w:rFonts w:ascii="Calibri" w:hAnsi="Calibri"/>
                <w:color w:val="111111"/>
                <w:sz w:val="18"/>
              </w:rPr>
              <w:t>LightGBM/gradient boosting, features, class imbalance, calibration, feature ablation</w:t>
            </w:r>
          </w:p>
        </w:tc>
      </w:tr>
      <w:tr>
        <w:tc>
          <w:tcPr>
            <w:tcW w:type="dxa" w:w="1700"/>
            <w:tcMar>
              <w:top w:w="80" w:type="dxa"/>
              <w:start w:w="120" w:type="dxa"/>
              <w:bottom w:w="80" w:type="dxa"/>
              <w:end w:w="120" w:type="dxa"/>
            </w:tcMar>
            <w:vAlign w:val="center"/>
          </w:tcPr>
          <w:p>
            <w:pPr>
              <w:spacing w:after="0"/>
            </w:pPr>
            <w:r>
              <w:rPr>
                <w:rFonts w:ascii="Calibri" w:hAnsi="Calibri"/>
                <w:color w:val="111111"/>
                <w:sz w:val="18"/>
              </w:rPr>
              <w:t>3. Neural reranker</w:t>
            </w:r>
          </w:p>
        </w:tc>
        <w:tc>
          <w:tcPr>
            <w:tcW w:type="dxa" w:w="3300"/>
            <w:tcMar>
              <w:top w:w="80" w:type="dxa"/>
              <w:start w:w="120" w:type="dxa"/>
              <w:bottom w:w="80" w:type="dxa"/>
              <w:end w:w="120" w:type="dxa"/>
            </w:tcMar>
            <w:vAlign w:val="center"/>
          </w:tcPr>
          <w:p>
            <w:pPr>
              <w:spacing w:after="0"/>
            </w:pPr>
            <w:r>
              <w:rPr>
                <w:rFonts w:ascii="Calibri" w:hAnsi="Calibri"/>
                <w:color w:val="111111"/>
                <w:sz w:val="18"/>
              </w:rPr>
              <w:t>Apply an expensive semantic model only to the highest-value candidates.</w:t>
            </w:r>
          </w:p>
        </w:tc>
        <w:tc>
          <w:tcPr>
            <w:tcW w:type="dxa" w:w="4360"/>
            <w:tcMar>
              <w:top w:w="80" w:type="dxa"/>
              <w:start w:w="120" w:type="dxa"/>
              <w:bottom w:w="80" w:type="dxa"/>
              <w:end w:w="120" w:type="dxa"/>
            </w:tcMar>
            <w:vAlign w:val="center"/>
          </w:tcPr>
          <w:p>
            <w:pPr>
              <w:spacing w:after="0"/>
            </w:pPr>
            <w:r>
              <w:rPr>
                <w:rFonts w:ascii="Calibri" w:hAnsi="Calibri"/>
                <w:color w:val="111111"/>
                <w:sz w:val="18"/>
              </w:rPr>
              <w:t>embeddings, bi-encoder, cross-encoder, transformer, top-K reranking, GPU inference</w:t>
            </w:r>
          </w:p>
        </w:tc>
      </w:tr>
      <w:tr>
        <w:tc>
          <w:tcPr>
            <w:tcW w:type="dxa" w:w="1700"/>
            <w:tcMar>
              <w:top w:w="80" w:type="dxa"/>
              <w:start w:w="120" w:type="dxa"/>
              <w:bottom w:w="80" w:type="dxa"/>
              <w:end w:w="120" w:type="dxa"/>
            </w:tcMar>
            <w:vAlign w:val="center"/>
          </w:tcPr>
          <w:p>
            <w:pPr>
              <w:spacing w:after="0"/>
            </w:pPr>
            <w:r>
              <w:rPr>
                <w:rFonts w:ascii="Calibri" w:hAnsi="Calibri"/>
                <w:color w:val="111111"/>
                <w:sz w:val="18"/>
              </w:rPr>
              <w:t>4. Decision layer</w:t>
            </w:r>
          </w:p>
        </w:tc>
        <w:tc>
          <w:tcPr>
            <w:tcW w:type="dxa" w:w="3300"/>
            <w:tcMar>
              <w:top w:w="80" w:type="dxa"/>
              <w:start w:w="120" w:type="dxa"/>
              <w:bottom w:w="80" w:type="dxa"/>
              <w:end w:w="120" w:type="dxa"/>
            </w:tcMar>
            <w:vAlign w:val="center"/>
          </w:tcPr>
          <w:p>
            <w:pPr>
              <w:spacing w:after="0"/>
            </w:pPr>
            <w:r>
              <w:rPr>
                <w:rFonts w:ascii="Calibri" w:hAnsi="Calibri"/>
                <w:color w:val="111111"/>
                <w:sz w:val="18"/>
              </w:rPr>
              <w:t>Convert pair scores into final record links under business rules.</w:t>
            </w:r>
          </w:p>
        </w:tc>
        <w:tc>
          <w:tcPr>
            <w:tcW w:type="dxa" w:w="4360"/>
            <w:tcMar>
              <w:top w:w="80" w:type="dxa"/>
              <w:start w:w="120" w:type="dxa"/>
              <w:bottom w:w="80" w:type="dxa"/>
              <w:end w:w="120" w:type="dxa"/>
            </w:tcMar>
            <w:vAlign w:val="center"/>
          </w:tcPr>
          <w:p>
            <w:pPr>
              <w:spacing w:after="0"/>
            </w:pPr>
            <w:r>
              <w:rPr>
                <w:rFonts w:ascii="Calibri" w:hAnsi="Calibri"/>
                <w:color w:val="111111"/>
                <w:sz w:val="18"/>
              </w:rPr>
              <w:t>threshold tuning, macro F₀.₅ optimization, exclusivity-constrained assignment, precision/recall trade-off</w:t>
            </w:r>
          </w:p>
        </w:tc>
      </w:tr>
    </w:tbl>
    <w:p>
      <w:pPr>
        <w:spacing w:after="40"/>
      </w:pPr>
    </w:p>
    <w:p>
      <w:pPr>
        <w:pStyle w:val="Heading2"/>
        <w:keepNext/>
      </w:pPr>
      <w:r>
        <w:rPr>
          <w:rFonts w:ascii="Calibri" w:hAnsi="Calibri"/>
          <w:b/>
          <w:color w:val="2E74B5"/>
          <w:sz w:val="26"/>
        </w:rPr>
        <w:t>Training and evaluation terms</w:t>
      </w:r>
    </w:p>
    <w:tbl>
      <w:tblPr>
        <w:tblStyle w:val="TableGrid"/>
        <w:tblW w:type="dxa" w:w="9360"/>
        <w:jc w:val="left"/>
        <w:tblLayout w:type="fixed"/>
        <w:tblLook w:firstColumn="1" w:firstRow="1" w:lastColumn="0" w:lastRow="0" w:noHBand="0" w:noVBand="1" w:val="04A0"/>
        <w:tblInd w:w="120" w:type="dxa"/>
        <w:tblInd w:w="120" w:type="dxa"/>
      </w:tblPr>
      <w:tblGrid>
        <w:gridCol w:w="2300"/>
        <w:gridCol w:w="7060"/>
      </w:tblGrid>
      <w:tr>
        <w:tc>
          <w:tcPr>
            <w:tcW w:type="dxa" w:w="2300"/>
            <w:tcMar>
              <w:top w:w="80" w:type="dxa"/>
              <w:start w:w="120" w:type="dxa"/>
              <w:bottom w:w="80" w:type="dxa"/>
              <w:end w:w="120" w:type="dxa"/>
            </w:tcMar>
            <w:vAlign w:val="center"/>
            <w:shd w:fill="E8EEF5"/>
          </w:tcPr>
          <w:p>
            <w:pPr>
              <w:spacing w:after="0"/>
            </w:pPr>
            <w:r>
              <w:rPr>
                <w:rFonts w:ascii="Calibri" w:hAnsi="Calibri"/>
                <w:b/>
                <w:color w:val="1F4D78"/>
                <w:sz w:val="19"/>
              </w:rPr>
              <w:t>Term</w:t>
            </w:r>
          </w:p>
        </w:tc>
        <w:tc>
          <w:tcPr>
            <w:tcW w:type="dxa" w:w="7060"/>
            <w:tcMar>
              <w:top w:w="80" w:type="dxa"/>
              <w:start w:w="120" w:type="dxa"/>
              <w:bottom w:w="80" w:type="dxa"/>
              <w:end w:w="120" w:type="dxa"/>
            </w:tcMar>
            <w:vAlign w:val="center"/>
            <w:shd w:fill="E8EEF5"/>
          </w:tcPr>
          <w:p>
            <w:pPr>
              <w:spacing w:after="0"/>
            </w:pPr>
            <w:r>
              <w:rPr>
                <w:rFonts w:ascii="Calibri" w:hAnsi="Calibri"/>
                <w:b/>
                <w:color w:val="1F4D78"/>
                <w:sz w:val="19"/>
              </w:rPr>
              <w:t>Meaning in this project</w:t>
            </w:r>
          </w:p>
        </w:tc>
      </w:tr>
      <w:tr>
        <w:tc>
          <w:tcPr>
            <w:tcW w:type="dxa" w:w="2300"/>
            <w:tcMar>
              <w:top w:w="80" w:type="dxa"/>
              <w:start w:w="120" w:type="dxa"/>
              <w:bottom w:w="80" w:type="dxa"/>
              <w:end w:w="120" w:type="dxa"/>
            </w:tcMar>
            <w:vAlign w:val="center"/>
          </w:tcPr>
          <w:p>
            <w:pPr>
              <w:spacing w:after="0"/>
            </w:pPr>
            <w:r>
              <w:rPr>
                <w:rFonts w:ascii="Calibri" w:hAnsi="Calibri"/>
                <w:color w:val="111111"/>
                <w:sz w:val="18"/>
              </w:rPr>
              <w:t>Train / validation split</w:t>
            </w:r>
          </w:p>
        </w:tc>
        <w:tc>
          <w:tcPr>
            <w:tcW w:type="dxa" w:w="7060"/>
            <w:tcMar>
              <w:top w:w="80" w:type="dxa"/>
              <w:start w:w="120" w:type="dxa"/>
              <w:bottom w:w="80" w:type="dxa"/>
              <w:end w:w="120" w:type="dxa"/>
            </w:tcMar>
            <w:vAlign w:val="center"/>
          </w:tcPr>
          <w:p>
            <w:pPr>
              <w:spacing w:after="0"/>
            </w:pPr>
            <w:r>
              <w:rPr>
                <w:rFonts w:ascii="Calibri" w:hAnsi="Calibri"/>
                <w:color w:val="111111"/>
                <w:sz w:val="18"/>
              </w:rPr>
              <w:t>A country × match-cardinality stratified holdout isolates evaluation entities from training entities.</w:t>
            </w:r>
          </w:p>
        </w:tc>
      </w:tr>
      <w:tr>
        <w:tc>
          <w:tcPr>
            <w:tcW w:type="dxa" w:w="2300"/>
            <w:tcMar>
              <w:top w:w="80" w:type="dxa"/>
              <w:start w:w="120" w:type="dxa"/>
              <w:bottom w:w="80" w:type="dxa"/>
              <w:end w:w="120" w:type="dxa"/>
            </w:tcMar>
            <w:vAlign w:val="center"/>
          </w:tcPr>
          <w:p>
            <w:pPr>
              <w:spacing w:after="0"/>
            </w:pPr>
            <w:r>
              <w:rPr>
                <w:rFonts w:ascii="Calibri" w:hAnsi="Calibri"/>
                <w:color w:val="111111"/>
                <w:sz w:val="18"/>
              </w:rPr>
              <w:t>Ground truth / labels</w:t>
            </w:r>
          </w:p>
        </w:tc>
        <w:tc>
          <w:tcPr>
            <w:tcW w:type="dxa" w:w="7060"/>
            <w:tcMar>
              <w:top w:w="80" w:type="dxa"/>
              <w:start w:w="120" w:type="dxa"/>
              <w:bottom w:w="80" w:type="dxa"/>
              <w:end w:w="120" w:type="dxa"/>
            </w:tcMar>
            <w:vAlign w:val="center"/>
          </w:tcPr>
          <w:p>
            <w:pPr>
              <w:spacing w:after="0"/>
            </w:pPr>
            <w:r>
              <w:rPr>
                <w:rFonts w:ascii="Calibri" w:hAnsi="Calibri"/>
                <w:color w:val="111111"/>
                <w:sz w:val="18"/>
              </w:rPr>
              <w:t>Known Source 1 → Source 2/3 entity links used to evaluate or train the system.</w:t>
            </w:r>
          </w:p>
        </w:tc>
      </w:tr>
      <w:tr>
        <w:tc>
          <w:tcPr>
            <w:tcW w:type="dxa" w:w="2300"/>
            <w:tcMar>
              <w:top w:w="80" w:type="dxa"/>
              <w:start w:w="120" w:type="dxa"/>
              <w:bottom w:w="80" w:type="dxa"/>
              <w:end w:w="120" w:type="dxa"/>
            </w:tcMar>
            <w:vAlign w:val="center"/>
          </w:tcPr>
          <w:p>
            <w:pPr>
              <w:spacing w:after="0"/>
            </w:pPr>
            <w:r>
              <w:rPr>
                <w:rFonts w:ascii="Calibri" w:hAnsi="Calibri"/>
                <w:color w:val="111111"/>
                <w:sz w:val="18"/>
              </w:rPr>
              <w:t>Positive / negative pair</w:t>
            </w:r>
          </w:p>
        </w:tc>
        <w:tc>
          <w:tcPr>
            <w:tcW w:type="dxa" w:w="7060"/>
            <w:tcMar>
              <w:top w:w="80" w:type="dxa"/>
              <w:start w:w="120" w:type="dxa"/>
              <w:bottom w:w="80" w:type="dxa"/>
              <w:end w:w="120" w:type="dxa"/>
            </w:tcMar>
            <w:vAlign w:val="center"/>
          </w:tcPr>
          <w:p>
            <w:pPr>
              <w:spacing w:after="0"/>
            </w:pPr>
            <w:r>
              <w:rPr>
                <w:rFonts w:ascii="Calibri" w:hAnsi="Calibri"/>
                <w:color w:val="111111"/>
                <w:sz w:val="18"/>
              </w:rPr>
              <w:t>A correct matching pair versus a non-matching candidate pair; negatives are much more common.</w:t>
            </w:r>
          </w:p>
        </w:tc>
      </w:tr>
      <w:tr>
        <w:tc>
          <w:tcPr>
            <w:tcW w:type="dxa" w:w="2300"/>
            <w:tcMar>
              <w:top w:w="80" w:type="dxa"/>
              <w:start w:w="120" w:type="dxa"/>
              <w:bottom w:w="80" w:type="dxa"/>
              <w:end w:w="120" w:type="dxa"/>
            </w:tcMar>
            <w:vAlign w:val="center"/>
          </w:tcPr>
          <w:p>
            <w:pPr>
              <w:spacing w:after="0"/>
            </w:pPr>
            <w:r>
              <w:rPr>
                <w:rFonts w:ascii="Calibri" w:hAnsi="Calibri"/>
                <w:color w:val="111111"/>
                <w:sz w:val="18"/>
              </w:rPr>
              <w:t>Features</w:t>
            </w:r>
          </w:p>
        </w:tc>
        <w:tc>
          <w:tcPr>
            <w:tcW w:type="dxa" w:w="7060"/>
            <w:tcMar>
              <w:top w:w="80" w:type="dxa"/>
              <w:start w:w="120" w:type="dxa"/>
              <w:bottom w:w="80" w:type="dxa"/>
              <w:end w:w="120" w:type="dxa"/>
            </w:tcMar>
            <w:vAlign w:val="center"/>
          </w:tcPr>
          <w:p>
            <w:pPr>
              <w:spacing w:after="0"/>
            </w:pPr>
            <w:r>
              <w:rPr>
                <w:rFonts w:ascii="Calibri" w:hAnsi="Calibri"/>
                <w:color w:val="111111"/>
                <w:sz w:val="18"/>
              </w:rPr>
              <w:t>Name/address token overlap, string similarity, numeric agreement, country agreement, and raw vs. normalized comparisons.</w:t>
            </w:r>
          </w:p>
        </w:tc>
      </w:tr>
      <w:tr>
        <w:tc>
          <w:tcPr>
            <w:tcW w:type="dxa" w:w="2300"/>
            <w:tcMar>
              <w:top w:w="80" w:type="dxa"/>
              <w:start w:w="120" w:type="dxa"/>
              <w:bottom w:w="80" w:type="dxa"/>
              <w:end w:w="120" w:type="dxa"/>
            </w:tcMar>
            <w:vAlign w:val="center"/>
          </w:tcPr>
          <w:p>
            <w:pPr>
              <w:spacing w:after="0"/>
            </w:pPr>
            <w:r>
              <w:rPr>
                <w:rFonts w:ascii="Calibri" w:hAnsi="Calibri"/>
                <w:color w:val="111111"/>
                <w:sz w:val="18"/>
              </w:rPr>
              <w:t>F₀.₅ score</w:t>
            </w:r>
          </w:p>
        </w:tc>
        <w:tc>
          <w:tcPr>
            <w:tcW w:type="dxa" w:w="7060"/>
            <w:tcMar>
              <w:top w:w="80" w:type="dxa"/>
              <w:start w:w="120" w:type="dxa"/>
              <w:bottom w:w="80" w:type="dxa"/>
              <w:end w:w="120" w:type="dxa"/>
            </w:tcMar>
            <w:vAlign w:val="center"/>
          </w:tcPr>
          <w:p>
            <w:pPr>
              <w:spacing w:after="0"/>
            </w:pPr>
            <w:r>
              <w:rPr>
                <w:rFonts w:ascii="Calibri" w:hAnsi="Calibri"/>
                <w:color w:val="111111"/>
                <w:sz w:val="18"/>
              </w:rPr>
              <w:t>Macro-averaged metric that weights precision more than recall; threshold must be tuned empirically.</w:t>
            </w:r>
          </w:p>
        </w:tc>
      </w:tr>
      <w:tr>
        <w:tc>
          <w:tcPr>
            <w:tcW w:type="dxa" w:w="2300"/>
            <w:tcMar>
              <w:top w:w="80" w:type="dxa"/>
              <w:start w:w="120" w:type="dxa"/>
              <w:bottom w:w="80" w:type="dxa"/>
              <w:end w:w="120" w:type="dxa"/>
            </w:tcMar>
            <w:vAlign w:val="center"/>
          </w:tcPr>
          <w:p>
            <w:pPr>
              <w:spacing w:after="0"/>
            </w:pPr>
            <w:r>
              <w:rPr>
                <w:rFonts w:ascii="Calibri" w:hAnsi="Calibri"/>
                <w:color w:val="111111"/>
                <w:sz w:val="18"/>
              </w:rPr>
              <w:t>Recall@K</w:t>
            </w:r>
          </w:p>
        </w:tc>
        <w:tc>
          <w:tcPr>
            <w:tcW w:type="dxa" w:w="7060"/>
            <w:tcMar>
              <w:top w:w="80" w:type="dxa"/>
              <w:start w:w="120" w:type="dxa"/>
              <w:bottom w:w="80" w:type="dxa"/>
              <w:end w:w="120" w:type="dxa"/>
            </w:tcMar>
            <w:vAlign w:val="center"/>
          </w:tcPr>
          <w:p>
            <w:pPr>
              <w:spacing w:after="0"/>
            </w:pPr>
            <w:r>
              <w:rPr>
                <w:rFonts w:ascii="Calibri" w:hAnsi="Calibri"/>
                <w:color w:val="111111"/>
                <w:sz w:val="18"/>
              </w:rPr>
              <w:t>Share of true matches retained among the top K candidates; blocking quality ceiling.</w:t>
            </w:r>
          </w:p>
        </w:tc>
      </w:tr>
      <w:tr>
        <w:tc>
          <w:tcPr>
            <w:tcW w:type="dxa" w:w="2300"/>
            <w:tcMar>
              <w:top w:w="80" w:type="dxa"/>
              <w:start w:w="120" w:type="dxa"/>
              <w:bottom w:w="80" w:type="dxa"/>
              <w:end w:w="120" w:type="dxa"/>
            </w:tcMar>
            <w:vAlign w:val="center"/>
          </w:tcPr>
          <w:p>
            <w:pPr>
              <w:spacing w:after="0"/>
            </w:pPr>
            <w:r>
              <w:rPr>
                <w:rFonts w:ascii="Calibri" w:hAnsi="Calibri"/>
                <w:color w:val="111111"/>
                <w:sz w:val="18"/>
              </w:rPr>
              <w:t>Ablation study</w:t>
            </w:r>
          </w:p>
        </w:tc>
        <w:tc>
          <w:tcPr>
            <w:tcW w:type="dxa" w:w="7060"/>
            <w:tcMar>
              <w:top w:w="80" w:type="dxa"/>
              <w:start w:w="120" w:type="dxa"/>
              <w:bottom w:w="80" w:type="dxa"/>
              <w:end w:w="120" w:type="dxa"/>
            </w:tcMar>
            <w:vAlign w:val="center"/>
          </w:tcPr>
          <w:p>
            <w:pPr>
              <w:spacing w:after="0"/>
            </w:pPr>
            <w:r>
              <w:rPr>
                <w:rFonts w:ascii="Calibri" w:hAnsi="Calibri"/>
                <w:color w:val="111111"/>
                <w:sz w:val="18"/>
              </w:rPr>
              <w:t>Remove one feature group or normalization step at a time to measure its contribution.</w:t>
            </w:r>
          </w:p>
        </w:tc>
      </w:tr>
      <w:tr>
        <w:tc>
          <w:tcPr>
            <w:tcW w:type="dxa" w:w="2300"/>
            <w:tcMar>
              <w:top w:w="80" w:type="dxa"/>
              <w:start w:w="120" w:type="dxa"/>
              <w:bottom w:w="80" w:type="dxa"/>
              <w:end w:w="120" w:type="dxa"/>
            </w:tcMar>
            <w:vAlign w:val="center"/>
          </w:tcPr>
          <w:p>
            <w:pPr>
              <w:spacing w:after="0"/>
            </w:pPr>
            <w:r>
              <w:rPr>
                <w:rFonts w:ascii="Calibri" w:hAnsi="Calibri"/>
                <w:color w:val="111111"/>
                <w:sz w:val="18"/>
              </w:rPr>
              <w:t>Hyperparameter sweep</w:t>
            </w:r>
          </w:p>
        </w:tc>
        <w:tc>
          <w:tcPr>
            <w:tcW w:type="dxa" w:w="7060"/>
            <w:tcMar>
              <w:top w:w="80" w:type="dxa"/>
              <w:start w:w="120" w:type="dxa"/>
              <w:bottom w:w="80" w:type="dxa"/>
              <w:end w:w="120" w:type="dxa"/>
            </w:tcMar>
            <w:vAlign w:val="center"/>
          </w:tcPr>
          <w:p>
            <w:pPr>
              <w:spacing w:after="0"/>
            </w:pPr>
            <w:r>
              <w:rPr>
                <w:rFonts w:ascii="Calibri" w:hAnsi="Calibri"/>
                <w:color w:val="111111"/>
                <w:sz w:val="18"/>
              </w:rPr>
              <w:t>Systematic search over K, thresholds, GBM settings, normalization variants, and reranker choices.</w:t>
            </w:r>
          </w:p>
        </w:tc>
      </w:tr>
      <w:tr>
        <w:tc>
          <w:tcPr>
            <w:tcW w:type="dxa" w:w="2300"/>
            <w:tcMar>
              <w:top w:w="80" w:type="dxa"/>
              <w:start w:w="120" w:type="dxa"/>
              <w:bottom w:w="80" w:type="dxa"/>
              <w:end w:w="120" w:type="dxa"/>
            </w:tcMar>
            <w:vAlign w:val="center"/>
          </w:tcPr>
          <w:p>
            <w:pPr>
              <w:spacing w:after="0"/>
            </w:pPr>
            <w:r>
              <w:rPr>
                <w:rFonts w:ascii="Calibri" w:hAnsi="Calibri"/>
                <w:color w:val="111111"/>
                <w:sz w:val="18"/>
              </w:rPr>
              <w:t>Overfitting</w:t>
            </w:r>
          </w:p>
        </w:tc>
        <w:tc>
          <w:tcPr>
            <w:tcW w:type="dxa" w:w="7060"/>
            <w:tcMar>
              <w:top w:w="80" w:type="dxa"/>
              <w:start w:w="120" w:type="dxa"/>
              <w:bottom w:w="80" w:type="dxa"/>
              <w:end w:w="120" w:type="dxa"/>
            </w:tcMar>
            <w:vAlign w:val="center"/>
          </w:tcPr>
          <w:p>
            <w:pPr>
              <w:spacing w:after="0"/>
            </w:pPr>
            <w:r>
              <w:rPr>
                <w:rFonts w:ascii="Calibri" w:hAnsi="Calibri"/>
                <w:color w:val="111111"/>
                <w:sz w:val="18"/>
              </w:rPr>
              <w:t>A model improves on training data but not on the held-out split; controlled through a fixed validation protocol.</w:t>
            </w:r>
          </w:p>
        </w:tc>
      </w:tr>
    </w:tbl>
    <w:p>
      <w:pPr>
        <w:spacing w:after="40"/>
      </w:pPr>
    </w:p>
    <w:p>
      <w:r>
        <w:br w:type="page"/>
      </w:r>
    </w:p>
    <w:p>
      <w:pPr>
        <w:pStyle w:val="Heading1"/>
        <w:keepNext/>
      </w:pPr>
      <w:r>
        <w:rPr>
          <w:rFonts w:ascii="Calibri" w:hAnsi="Calibri"/>
          <w:b/>
          <w:color w:val="2E74B5"/>
          <w:sz w:val="32"/>
        </w:rPr>
        <w:t>4. System requirements, tooling, and demonstration checklist</w:t>
      </w:r>
    </w:p>
    <w:p>
      <w:pPr>
        <w:pStyle w:val="Heading2"/>
        <w:keepNext/>
      </w:pPr>
      <w:r>
        <w:rPr>
          <w:rFonts w:ascii="Calibri" w:hAnsi="Calibri"/>
          <w:b/>
          <w:color w:val="2E74B5"/>
          <w:sz w:val="26"/>
        </w:rPr>
        <w:t>Technical requirements</w:t>
      </w:r>
    </w:p>
    <w:tbl>
      <w:tblPr>
        <w:tblStyle w:val="TableGrid"/>
        <w:tblW w:type="dxa" w:w="9360"/>
        <w:jc w:val="left"/>
        <w:tblLayout w:type="fixed"/>
        <w:tblLook w:firstColumn="1" w:firstRow="1" w:lastColumn="0" w:lastRow="0" w:noHBand="0" w:noVBand="1" w:val="04A0"/>
        <w:tblInd w:w="120" w:type="dxa"/>
        <w:tblInd w:w="120" w:type="dxa"/>
      </w:tblPr>
      <w:tblGrid>
        <w:gridCol w:w="2350"/>
        <w:gridCol w:w="7010"/>
      </w:tblGrid>
      <w:tr>
        <w:tc>
          <w:tcPr>
            <w:tcW w:type="dxa" w:w="2350"/>
            <w:tcMar>
              <w:top w:w="80" w:type="dxa"/>
              <w:start w:w="120" w:type="dxa"/>
              <w:bottom w:w="80" w:type="dxa"/>
              <w:end w:w="120" w:type="dxa"/>
            </w:tcMar>
            <w:vAlign w:val="center"/>
            <w:shd w:fill="E8EEF5"/>
          </w:tcPr>
          <w:p>
            <w:pPr>
              <w:spacing w:after="0"/>
            </w:pPr>
            <w:r>
              <w:rPr>
                <w:rFonts w:ascii="Calibri" w:hAnsi="Calibri"/>
                <w:b/>
                <w:color w:val="1F4D78"/>
                <w:sz w:val="19"/>
              </w:rPr>
              <w:t>Area</w:t>
            </w:r>
          </w:p>
        </w:tc>
        <w:tc>
          <w:tcPr>
            <w:tcW w:type="dxa" w:w="7010"/>
            <w:tcMar>
              <w:top w:w="80" w:type="dxa"/>
              <w:start w:w="120" w:type="dxa"/>
              <w:bottom w:w="80" w:type="dxa"/>
              <w:end w:w="120" w:type="dxa"/>
            </w:tcMar>
            <w:vAlign w:val="center"/>
            <w:shd w:fill="E8EEF5"/>
          </w:tcPr>
          <w:p>
            <w:pPr>
              <w:spacing w:after="0"/>
            </w:pPr>
            <w:r>
              <w:rPr>
                <w:rFonts w:ascii="Calibri" w:hAnsi="Calibri"/>
                <w:b/>
                <w:color w:val="1F4D78"/>
                <w:sz w:val="19"/>
              </w:rPr>
              <w:t>Requirement / recommended configuration</w:t>
            </w:r>
          </w:p>
        </w:tc>
      </w:tr>
      <w:tr>
        <w:tc>
          <w:tcPr>
            <w:tcW w:type="dxa" w:w="2350"/>
            <w:tcMar>
              <w:top w:w="80" w:type="dxa"/>
              <w:start w:w="120" w:type="dxa"/>
              <w:bottom w:w="80" w:type="dxa"/>
              <w:end w:w="120" w:type="dxa"/>
            </w:tcMar>
            <w:vAlign w:val="center"/>
          </w:tcPr>
          <w:p>
            <w:pPr>
              <w:spacing w:after="0"/>
            </w:pPr>
            <w:r>
              <w:rPr>
                <w:rFonts w:ascii="Calibri" w:hAnsi="Calibri"/>
                <w:color w:val="111111"/>
                <w:sz w:val="18"/>
              </w:rPr>
              <w:t>Operating environment</w:t>
            </w:r>
          </w:p>
        </w:tc>
        <w:tc>
          <w:tcPr>
            <w:tcW w:type="dxa" w:w="7010"/>
            <w:tcMar>
              <w:top w:w="80" w:type="dxa"/>
              <w:start w:w="120" w:type="dxa"/>
              <w:bottom w:w="80" w:type="dxa"/>
              <w:end w:w="120" w:type="dxa"/>
            </w:tcMar>
            <w:vAlign w:val="center"/>
          </w:tcPr>
          <w:p>
            <w:pPr>
              <w:spacing w:after="0"/>
            </w:pPr>
            <w:r>
              <w:rPr>
                <w:rFonts w:ascii="Calibri" w:hAnsi="Calibri"/>
                <w:color w:val="111111"/>
                <w:sz w:val="18"/>
              </w:rPr>
              <w:t>Python 3.12; Linux-based EC2 or SageMaker Studio JupyterLab runtime.</w:t>
            </w:r>
          </w:p>
        </w:tc>
      </w:tr>
      <w:tr>
        <w:tc>
          <w:tcPr>
            <w:tcW w:type="dxa" w:w="2350"/>
            <w:tcMar>
              <w:top w:w="80" w:type="dxa"/>
              <w:start w:w="120" w:type="dxa"/>
              <w:bottom w:w="80" w:type="dxa"/>
              <w:end w:w="120" w:type="dxa"/>
            </w:tcMar>
            <w:vAlign w:val="center"/>
          </w:tcPr>
          <w:p>
            <w:pPr>
              <w:spacing w:after="0"/>
            </w:pPr>
            <w:r>
              <w:rPr>
                <w:rFonts w:ascii="Calibri" w:hAnsi="Calibri"/>
                <w:color w:val="111111"/>
                <w:sz w:val="18"/>
              </w:rPr>
              <w:t>Core packages</w:t>
            </w:r>
          </w:p>
        </w:tc>
        <w:tc>
          <w:tcPr>
            <w:tcW w:type="dxa" w:w="7010"/>
            <w:tcMar>
              <w:top w:w="80" w:type="dxa"/>
              <w:start w:w="120" w:type="dxa"/>
              <w:bottom w:w="80" w:type="dxa"/>
              <w:end w:w="120" w:type="dxa"/>
            </w:tcMar>
            <w:vAlign w:val="center"/>
          </w:tcPr>
          <w:p>
            <w:pPr>
              <w:spacing w:after="0"/>
            </w:pPr>
            <w:r>
              <w:rPr>
                <w:rFonts w:ascii="Calibri" w:hAnsi="Calibri"/>
                <w:color w:val="111111"/>
                <w:sz w:val="18"/>
              </w:rPr>
              <w:t>numpy 2.1.3, pandas 2.2.3, pyarrow 17.0.0, duckdb 1.1.3, rapidfuzz 3.10.1, scikit-learn 1.5.2, scipy 1.14.1, lightgbm 4.5.0, jupyterlab 4.3.1, ipykernel 6.29.5.</w:t>
            </w:r>
          </w:p>
        </w:tc>
      </w:tr>
      <w:tr>
        <w:tc>
          <w:tcPr>
            <w:tcW w:type="dxa" w:w="2350"/>
            <w:tcMar>
              <w:top w:w="80" w:type="dxa"/>
              <w:start w:w="120" w:type="dxa"/>
              <w:bottom w:w="80" w:type="dxa"/>
              <w:end w:w="120" w:type="dxa"/>
            </w:tcMar>
            <w:vAlign w:val="center"/>
          </w:tcPr>
          <w:p>
            <w:pPr>
              <w:spacing w:after="0"/>
            </w:pPr>
            <w:r>
              <w:rPr>
                <w:rFonts w:ascii="Calibri" w:hAnsi="Calibri"/>
                <w:color w:val="111111"/>
                <w:sz w:val="18"/>
              </w:rPr>
              <w:t>Storage</w:t>
            </w:r>
          </w:p>
        </w:tc>
        <w:tc>
          <w:tcPr>
            <w:tcW w:type="dxa" w:w="7010"/>
            <w:tcMar>
              <w:top w:w="80" w:type="dxa"/>
              <w:start w:w="120" w:type="dxa"/>
              <w:bottom w:w="80" w:type="dxa"/>
              <w:end w:w="120" w:type="dxa"/>
            </w:tcMar>
            <w:vAlign w:val="center"/>
          </w:tcPr>
          <w:p>
            <w:pPr>
              <w:spacing w:after="0"/>
            </w:pPr>
            <w:r>
              <w:rPr>
                <w:rFonts w:ascii="Calibri" w:hAnsi="Calibri"/>
                <w:color w:val="111111"/>
                <w:sz w:val="18"/>
              </w:rPr>
              <w:t>Approximately 300 GB gp3 for raw data, Parquet intermediates, outputs, checkpoints, and operating buffer.</w:t>
            </w:r>
          </w:p>
        </w:tc>
      </w:tr>
      <w:tr>
        <w:tc>
          <w:tcPr>
            <w:tcW w:type="dxa" w:w="2350"/>
            <w:tcMar>
              <w:top w:w="80" w:type="dxa"/>
              <w:start w:w="120" w:type="dxa"/>
              <w:bottom w:w="80" w:type="dxa"/>
              <w:end w:w="120" w:type="dxa"/>
            </w:tcMar>
            <w:vAlign w:val="center"/>
          </w:tcPr>
          <w:p>
            <w:pPr>
              <w:spacing w:after="0"/>
            </w:pPr>
            <w:r>
              <w:rPr>
                <w:rFonts w:ascii="Calibri" w:hAnsi="Calibri"/>
                <w:color w:val="111111"/>
                <w:sz w:val="18"/>
              </w:rPr>
              <w:t>CPU workloads</w:t>
            </w:r>
          </w:p>
        </w:tc>
        <w:tc>
          <w:tcPr>
            <w:tcW w:type="dxa" w:w="7010"/>
            <w:tcMar>
              <w:top w:w="80" w:type="dxa"/>
              <w:start w:w="120" w:type="dxa"/>
              <w:bottom w:w="80" w:type="dxa"/>
              <w:end w:w="120" w:type="dxa"/>
            </w:tcMar>
            <w:vAlign w:val="center"/>
          </w:tcPr>
          <w:p>
            <w:pPr>
              <w:spacing w:after="0"/>
            </w:pPr>
            <w:r>
              <w:rPr>
                <w:rFonts w:ascii="Calibri" w:hAnsi="Calibri"/>
                <w:color w:val="111111"/>
                <w:sz w:val="18"/>
              </w:rPr>
              <w:t>16 vCPU and 64 GB+ RAM recommended for blocking, features, and LightGBM at full scale (ml.r7i.4xlarge / ml.m7i.4xlarge class).</w:t>
            </w:r>
          </w:p>
        </w:tc>
      </w:tr>
      <w:tr>
        <w:tc>
          <w:tcPr>
            <w:tcW w:type="dxa" w:w="2350"/>
            <w:tcMar>
              <w:top w:w="80" w:type="dxa"/>
              <w:start w:w="120" w:type="dxa"/>
              <w:bottom w:w="80" w:type="dxa"/>
              <w:end w:w="120" w:type="dxa"/>
            </w:tcMar>
            <w:vAlign w:val="center"/>
          </w:tcPr>
          <w:p>
            <w:pPr>
              <w:spacing w:after="0"/>
            </w:pPr>
            <w:r>
              <w:rPr>
                <w:rFonts w:ascii="Calibri" w:hAnsi="Calibri"/>
                <w:color w:val="111111"/>
                <w:sz w:val="18"/>
              </w:rPr>
              <w:t>GPU workloads</w:t>
            </w:r>
          </w:p>
        </w:tc>
        <w:tc>
          <w:tcPr>
            <w:tcW w:type="dxa" w:w="7010"/>
            <w:tcMar>
              <w:top w:w="80" w:type="dxa"/>
              <w:start w:w="120" w:type="dxa"/>
              <w:bottom w:w="80" w:type="dxa"/>
              <w:end w:w="120" w:type="dxa"/>
            </w:tcMar>
            <w:vAlign w:val="center"/>
          </w:tcPr>
          <w:p>
            <w:pPr>
              <w:spacing w:after="0"/>
            </w:pPr>
            <w:r>
              <w:rPr>
                <w:rFonts w:ascii="Calibri" w:hAnsi="Calibri"/>
                <w:color w:val="111111"/>
                <w:sz w:val="18"/>
              </w:rPr>
              <w:t>For neural embeddings/reranking: an A10G-class GPU with 24 GB VRAM (ml.g5.2xlarge class), subject to quota.</w:t>
            </w:r>
          </w:p>
        </w:tc>
      </w:tr>
      <w:tr>
        <w:tc>
          <w:tcPr>
            <w:tcW w:type="dxa" w:w="2350"/>
            <w:tcMar>
              <w:top w:w="80" w:type="dxa"/>
              <w:start w:w="120" w:type="dxa"/>
              <w:bottom w:w="80" w:type="dxa"/>
              <w:end w:w="120" w:type="dxa"/>
            </w:tcMar>
            <w:vAlign w:val="center"/>
          </w:tcPr>
          <w:p>
            <w:pPr>
              <w:spacing w:after="0"/>
            </w:pPr>
            <w:r>
              <w:rPr>
                <w:rFonts w:ascii="Calibri" w:hAnsi="Calibri"/>
                <w:color w:val="111111"/>
                <w:sz w:val="18"/>
              </w:rPr>
              <w:t>Data formats</w:t>
            </w:r>
          </w:p>
        </w:tc>
        <w:tc>
          <w:tcPr>
            <w:tcW w:type="dxa" w:w="7010"/>
            <w:tcMar>
              <w:top w:w="80" w:type="dxa"/>
              <w:start w:w="120" w:type="dxa"/>
              <w:bottom w:w="80" w:type="dxa"/>
              <w:end w:w="120" w:type="dxa"/>
            </w:tcMar>
            <w:vAlign w:val="center"/>
          </w:tcPr>
          <w:p>
            <w:pPr>
              <w:spacing w:after="0"/>
            </w:pPr>
            <w:r>
              <w:rPr>
                <w:rFonts w:ascii="Calibri" w:hAnsi="Calibri"/>
                <w:color w:val="111111"/>
                <w:sz w:val="18"/>
              </w:rPr>
              <w:t>TSV for source/submission files; Parquet for intermediate artifacts; JSONL for experiment logs.</w:t>
            </w:r>
          </w:p>
        </w:tc>
      </w:tr>
      <w:tr>
        <w:tc>
          <w:tcPr>
            <w:tcW w:type="dxa" w:w="2350"/>
            <w:tcMar>
              <w:top w:w="80" w:type="dxa"/>
              <w:start w:w="120" w:type="dxa"/>
              <w:bottom w:w="80" w:type="dxa"/>
              <w:end w:w="120" w:type="dxa"/>
            </w:tcMar>
            <w:vAlign w:val="center"/>
          </w:tcPr>
          <w:p>
            <w:pPr>
              <w:spacing w:after="0"/>
            </w:pPr>
            <w:r>
              <w:rPr>
                <w:rFonts w:ascii="Calibri" w:hAnsi="Calibri"/>
                <w:color w:val="111111"/>
                <w:sz w:val="18"/>
              </w:rPr>
              <w:t>Security / access</w:t>
            </w:r>
          </w:p>
        </w:tc>
        <w:tc>
          <w:tcPr>
            <w:tcW w:type="dxa" w:w="7010"/>
            <w:tcMar>
              <w:top w:w="80" w:type="dxa"/>
              <w:start w:w="120" w:type="dxa"/>
              <w:bottom w:w="80" w:type="dxa"/>
              <w:end w:w="120" w:type="dxa"/>
            </w:tcMar>
            <w:vAlign w:val="center"/>
          </w:tcPr>
          <w:p>
            <w:pPr>
              <w:spacing w:after="0"/>
            </w:pPr>
            <w:r>
              <w:rPr>
                <w:rFonts w:ascii="Calibri" w:hAnsi="Calibri"/>
                <w:color w:val="111111"/>
                <w:sz w:val="18"/>
              </w:rPr>
              <w:t>Least-privilege IAM role for SageMaker/EC2 to read/write the approved S3 bucket; no external entity databases or lookup APIs.</w:t>
            </w:r>
          </w:p>
        </w:tc>
      </w:tr>
    </w:tbl>
    <w:p>
      <w:pPr>
        <w:spacing w:after="40"/>
      </w:pPr>
    </w:p>
    <w:p>
      <w:pPr>
        <w:pStyle w:val="Heading2"/>
        <w:keepNext/>
      </w:pPr>
      <w:r>
        <w:rPr>
          <w:rFonts w:ascii="Calibri" w:hAnsi="Calibri"/>
          <w:b/>
          <w:color w:val="2E74B5"/>
          <w:sz w:val="26"/>
        </w:rPr>
        <w:t>What to show to judges</w:t>
      </w:r>
    </w:p>
    <w:p>
      <w:pPr>
        <w:pStyle w:val="ListBullet"/>
        <w:spacing w:after="80"/>
      </w:pPr>
      <w:r>
        <w:rPr>
          <w:rFonts w:ascii="Calibri" w:hAnsi="Calibri"/>
          <w:color w:val="111111"/>
          <w:sz w:val="22"/>
        </w:rPr>
        <w:t>Problem and scale: explain why naive all-pairs matching is infeasible and why candidate blocking is necessary.</w:t>
      </w:r>
    </w:p>
    <w:p>
      <w:pPr>
        <w:pStyle w:val="ListBullet"/>
        <w:spacing w:after="80"/>
      </w:pPr>
      <w:r>
        <w:rPr>
          <w:rFonts w:ascii="Calibri" w:hAnsi="Calibri"/>
          <w:color w:val="111111"/>
          <w:sz w:val="22"/>
        </w:rPr>
        <w:t>Architecture: show the lexical blocking → scorer → reranker → exclusivity decision flow, clearly noting which layers are final versus planned.</w:t>
      </w:r>
    </w:p>
    <w:p>
      <w:pPr>
        <w:pStyle w:val="ListBullet"/>
        <w:spacing w:after="80"/>
      </w:pPr>
      <w:r>
        <w:rPr>
          <w:rFonts w:ascii="Calibri" w:hAnsi="Calibri"/>
          <w:color w:val="111111"/>
          <w:sz w:val="22"/>
        </w:rPr>
        <w:t>AWS Console: SageMaker/EC2 compute selection, S3 bucket structure, IAM-aware data access, and cost-conscious stop/start practice.</w:t>
      </w:r>
    </w:p>
    <w:p>
      <w:pPr>
        <w:pStyle w:val="ListBullet"/>
        <w:spacing w:after="80"/>
      </w:pPr>
      <w:r>
        <w:rPr>
          <w:rFonts w:ascii="Calibri" w:hAnsi="Calibri"/>
          <w:color w:val="111111"/>
          <w:sz w:val="22"/>
        </w:rPr>
        <w:t>Terminal: portable environment, requirements file, project notebooks/source tree, and a validation command or saved PASS result.</w:t>
      </w:r>
    </w:p>
    <w:p>
      <w:pPr>
        <w:pStyle w:val="ListBullet"/>
        <w:spacing w:after="80"/>
      </w:pPr>
      <w:r>
        <w:rPr>
          <w:rFonts w:ascii="Calibri" w:hAnsi="Calibri"/>
          <w:color w:val="111111"/>
          <w:sz w:val="22"/>
        </w:rPr>
        <w:t>Data and rules: no external enrichment; organizer-provided normalizations only in the shipped method.</w:t>
      </w:r>
    </w:p>
    <w:p>
      <w:pPr>
        <w:pStyle w:val="ListBullet"/>
        <w:spacing w:after="80"/>
      </w:pPr>
      <w:r>
        <w:rPr>
          <w:rFonts w:ascii="Calibri" w:hAnsi="Calibri"/>
          <w:color w:val="111111"/>
          <w:sz w:val="22"/>
        </w:rPr>
        <w:t>Results: F₀.₅ 0.141762 versus 0.125270 baseline; 1,732,544 required rows and validator PASS.</w:t>
      </w:r>
    </w:p>
    <w:p>
      <w:pPr>
        <w:pStyle w:val="ListBullet"/>
        <w:spacing w:after="80"/>
      </w:pPr>
      <w:r>
        <w:rPr>
          <w:rFonts w:ascii="Calibri" w:hAnsi="Calibri"/>
          <w:color w:val="111111"/>
          <w:sz w:val="22"/>
        </w:rPr>
        <w:t>Reproducibility: code package, notebooks, configuration, Parquet artifacts, output TSVs, and run log.</w:t>
      </w:r>
    </w:p>
    <w:p>
      <w:pPr>
        <w:pStyle w:val="Heading2"/>
        <w:keepNext/>
      </w:pPr>
      <w:r>
        <w:rPr>
          <w:rFonts w:ascii="Calibri" w:hAnsi="Calibri"/>
          <w:b/>
          <w:color w:val="2E74B5"/>
          <w:sz w:val="26"/>
        </w:rPr>
        <w:t>High-value keywords</w:t>
      </w:r>
    </w:p>
    <w:p>
      <w:r>
        <w:rPr>
          <w:rFonts w:ascii="Calibri" w:hAnsi="Calibri"/>
          <w:color w:val="111111"/>
          <w:sz w:val="22"/>
        </w:rPr>
        <w:t>Amazon SageMaker AI, SageMaker Studio, JupyterLab, Amazon EC2, Amazon S3, AWS Console, IAM role, cloud storage, ML pipeline, entity resolution, record linkage, data normalization, blocking, candidate generation, lexical retrieval, TF-IDF, n-grams, string similarity, RapidFuzz, feature engineering, LightGBM, gradient boosting, embeddings, transformer, reranking, threshold tuning, stratified holdout, macro F₀.₅, precision, recall, recall@K, exclusivity constraint, reproducibility, experiment tracking, Parquet, JSONL, validation, scalable inference, GPU acceleration, cost optimization.</w:t>
      </w:r>
    </w:p>
    <w:p>
      <w:r>
        <w:br w:type="page"/>
      </w:r>
    </w:p>
    <w:p>
      <w:pPr>
        <w:pStyle w:val="Heading1"/>
        <w:keepNext/>
      </w:pPr>
      <w:r>
        <w:rPr>
          <w:rFonts w:ascii="Calibri" w:hAnsi="Calibri"/>
          <w:b/>
          <w:color w:val="2E74B5"/>
          <w:sz w:val="32"/>
        </w:rPr>
        <w:t>5. Evidence, deliverables, and next steps</w:t>
      </w:r>
    </w:p>
    <w:p>
      <w:pPr>
        <w:pStyle w:val="Heading2"/>
        <w:keepNext/>
      </w:pPr>
      <w:r>
        <w:rPr>
          <w:rFonts w:ascii="Calibri" w:hAnsi="Calibri"/>
          <w:b/>
          <w:color w:val="2E74B5"/>
          <w:sz w:val="26"/>
        </w:rPr>
        <w:t>Delivered artefacts</w:t>
      </w:r>
    </w:p>
    <w:tbl>
      <w:tblPr>
        <w:tblStyle w:val="TableGrid"/>
        <w:tblW w:type="dxa" w:w="9360"/>
        <w:jc w:val="left"/>
        <w:tblLayout w:type="fixed"/>
        <w:tblLook w:firstColumn="1" w:firstRow="1" w:lastColumn="0" w:lastRow="0" w:noHBand="0" w:noVBand="1" w:val="04A0"/>
        <w:tblInd w:w="120" w:type="dxa"/>
        <w:tblInd w:w="120" w:type="dxa"/>
      </w:tblPr>
      <w:tblGrid>
        <w:gridCol w:w="2400"/>
        <w:gridCol w:w="6960"/>
      </w:tblGrid>
      <w:tr>
        <w:tc>
          <w:tcPr>
            <w:tcW w:type="dxa" w:w="2400"/>
            <w:tcMar>
              <w:top w:w="80" w:type="dxa"/>
              <w:start w:w="120" w:type="dxa"/>
              <w:bottom w:w="80" w:type="dxa"/>
              <w:end w:w="120" w:type="dxa"/>
            </w:tcMar>
            <w:vAlign w:val="center"/>
            <w:shd w:fill="E8EEF5"/>
          </w:tcPr>
          <w:p>
            <w:pPr>
              <w:spacing w:after="0"/>
            </w:pPr>
            <w:r>
              <w:rPr>
                <w:rFonts w:ascii="Calibri" w:hAnsi="Calibri"/>
                <w:b/>
                <w:color w:val="1F4D78"/>
                <w:sz w:val="19"/>
              </w:rPr>
              <w:t>Artefact</w:t>
            </w:r>
          </w:p>
        </w:tc>
        <w:tc>
          <w:tcPr>
            <w:tcW w:type="dxa" w:w="6960"/>
            <w:tcMar>
              <w:top w:w="80" w:type="dxa"/>
              <w:start w:w="120" w:type="dxa"/>
              <w:bottom w:w="80" w:type="dxa"/>
              <w:end w:w="120" w:type="dxa"/>
            </w:tcMar>
            <w:vAlign w:val="center"/>
            <w:shd w:fill="E8EEF5"/>
          </w:tcPr>
          <w:p>
            <w:pPr>
              <w:spacing w:after="0"/>
            </w:pPr>
            <w:r>
              <w:rPr>
                <w:rFonts w:ascii="Calibri" w:hAnsi="Calibri"/>
                <w:b/>
                <w:color w:val="1F4D78"/>
                <w:sz w:val="19"/>
              </w:rPr>
              <w:t>Evidence / use</w:t>
            </w:r>
          </w:p>
        </w:tc>
      </w:tr>
      <w:tr>
        <w:tc>
          <w:tcPr>
            <w:tcW w:type="dxa" w:w="2400"/>
            <w:tcMar>
              <w:top w:w="80" w:type="dxa"/>
              <w:start w:w="120" w:type="dxa"/>
              <w:bottom w:w="80" w:type="dxa"/>
              <w:end w:w="120" w:type="dxa"/>
            </w:tcMar>
            <w:vAlign w:val="center"/>
          </w:tcPr>
          <w:p>
            <w:pPr>
              <w:spacing w:after="0"/>
            </w:pPr>
            <w:r>
              <w:rPr>
                <w:rFonts w:ascii="Calibri" w:hAnsi="Calibri"/>
                <w:color w:val="111111"/>
                <w:sz w:val="18"/>
              </w:rPr>
              <w:t>Source code</w:t>
            </w:r>
          </w:p>
        </w:tc>
        <w:tc>
          <w:tcPr>
            <w:tcW w:type="dxa" w:w="6960"/>
            <w:tcMar>
              <w:top w:w="80" w:type="dxa"/>
              <w:start w:w="120" w:type="dxa"/>
              <w:bottom w:w="80" w:type="dxa"/>
              <w:end w:w="120" w:type="dxa"/>
            </w:tcMar>
            <w:vAlign w:val="center"/>
          </w:tcPr>
          <w:p>
            <w:pPr>
              <w:spacing w:after="0"/>
            </w:pPr>
            <w:r>
              <w:rPr>
                <w:rFonts w:ascii="Calibri" w:hAnsi="Calibri"/>
                <w:color w:val="111111"/>
                <w:sz w:val="18"/>
              </w:rPr>
              <w:t>Normalization, blocking, metric, split, submission, and rule-baseline modules under src/business_entity_resolution/.</w:t>
            </w:r>
          </w:p>
        </w:tc>
      </w:tr>
      <w:tr>
        <w:tc>
          <w:tcPr>
            <w:tcW w:type="dxa" w:w="2400"/>
            <w:tcMar>
              <w:top w:w="80" w:type="dxa"/>
              <w:start w:w="120" w:type="dxa"/>
              <w:bottom w:w="80" w:type="dxa"/>
              <w:end w:w="120" w:type="dxa"/>
            </w:tcMar>
            <w:vAlign w:val="center"/>
          </w:tcPr>
          <w:p>
            <w:pPr>
              <w:spacing w:after="0"/>
            </w:pPr>
            <w:r>
              <w:rPr>
                <w:rFonts w:ascii="Calibri" w:hAnsi="Calibri"/>
                <w:color w:val="111111"/>
                <w:sz w:val="18"/>
              </w:rPr>
              <w:t>Notebooks</w:t>
            </w:r>
          </w:p>
        </w:tc>
        <w:tc>
          <w:tcPr>
            <w:tcW w:type="dxa" w:w="6960"/>
            <w:tcMar>
              <w:top w:w="80" w:type="dxa"/>
              <w:start w:w="120" w:type="dxa"/>
              <w:bottom w:w="80" w:type="dxa"/>
              <w:end w:w="120" w:type="dxa"/>
            </w:tcMar>
            <w:vAlign w:val="center"/>
          </w:tcPr>
          <w:p>
            <w:pPr>
              <w:spacing w:after="0"/>
            </w:pPr>
            <w:r>
              <w:rPr>
                <w:rFonts w:ascii="Calibri" w:hAnsi="Calibri"/>
                <w:color w:val="111111"/>
                <w:sz w:val="18"/>
              </w:rPr>
              <w:t>NB00 setup; NB02 metric and split; NB03 normalization; NB04 blocking; NB09 final submission, with later-stage notebook plan documented.</w:t>
            </w:r>
          </w:p>
        </w:tc>
      </w:tr>
      <w:tr>
        <w:tc>
          <w:tcPr>
            <w:tcW w:type="dxa" w:w="2400"/>
            <w:tcMar>
              <w:top w:w="80" w:type="dxa"/>
              <w:start w:w="120" w:type="dxa"/>
              <w:bottom w:w="80" w:type="dxa"/>
              <w:end w:w="120" w:type="dxa"/>
            </w:tcMar>
            <w:vAlign w:val="center"/>
          </w:tcPr>
          <w:p>
            <w:pPr>
              <w:spacing w:after="0"/>
            </w:pPr>
            <w:r>
              <w:rPr>
                <w:rFonts w:ascii="Calibri" w:hAnsi="Calibri"/>
                <w:color w:val="111111"/>
                <w:sz w:val="18"/>
              </w:rPr>
              <w:t>Outputs</w:t>
            </w:r>
          </w:p>
        </w:tc>
        <w:tc>
          <w:tcPr>
            <w:tcW w:type="dxa" w:w="6960"/>
            <w:tcMar>
              <w:top w:w="80" w:type="dxa"/>
              <w:start w:w="120" w:type="dxa"/>
              <w:bottom w:w="80" w:type="dxa"/>
              <w:end w:w="120" w:type="dxa"/>
            </w:tcMar>
            <w:vAlign w:val="center"/>
          </w:tcPr>
          <w:p>
            <w:pPr>
              <w:spacing w:after="0"/>
            </w:pPr>
            <w:r>
              <w:rPr>
                <w:rFonts w:ascii="Calibri" w:hAnsi="Calibri"/>
                <w:color w:val="111111"/>
                <w:sz w:val="18"/>
              </w:rPr>
              <w:t>matching_results.tsv and candidate_pairs.tsv produced for the required test set.</w:t>
            </w:r>
          </w:p>
        </w:tc>
      </w:tr>
      <w:tr>
        <w:tc>
          <w:tcPr>
            <w:tcW w:type="dxa" w:w="2400"/>
            <w:tcMar>
              <w:top w:w="80" w:type="dxa"/>
              <w:start w:w="120" w:type="dxa"/>
              <w:bottom w:w="80" w:type="dxa"/>
              <w:end w:w="120" w:type="dxa"/>
            </w:tcMar>
            <w:vAlign w:val="center"/>
          </w:tcPr>
          <w:p>
            <w:pPr>
              <w:spacing w:after="0"/>
            </w:pPr>
            <w:r>
              <w:rPr>
                <w:rFonts w:ascii="Calibri" w:hAnsi="Calibri"/>
                <w:color w:val="111111"/>
                <w:sz w:val="18"/>
              </w:rPr>
              <w:t>Validation</w:t>
            </w:r>
          </w:p>
        </w:tc>
        <w:tc>
          <w:tcPr>
            <w:tcW w:type="dxa" w:w="6960"/>
            <w:tcMar>
              <w:top w:w="80" w:type="dxa"/>
              <w:start w:w="120" w:type="dxa"/>
              <w:bottom w:w="80" w:type="dxa"/>
              <w:end w:w="120" w:type="dxa"/>
            </w:tcMar>
            <w:vAlign w:val="center"/>
          </w:tcPr>
          <w:p>
            <w:pPr>
              <w:spacing w:after="0"/>
            </w:pPr>
            <w:r>
              <w:rPr>
                <w:rFonts w:ascii="Calibri" w:hAnsi="Calibri"/>
                <w:color w:val="111111"/>
                <w:sz w:val="18"/>
              </w:rPr>
              <w:t>Organizer validator passed with all 1,732,544 Source 1 rows present and no format issues.</w:t>
            </w:r>
          </w:p>
        </w:tc>
      </w:tr>
      <w:tr>
        <w:tc>
          <w:tcPr>
            <w:tcW w:type="dxa" w:w="2400"/>
            <w:tcMar>
              <w:top w:w="80" w:type="dxa"/>
              <w:start w:w="120" w:type="dxa"/>
              <w:bottom w:w="80" w:type="dxa"/>
              <w:end w:w="120" w:type="dxa"/>
            </w:tcMar>
            <w:vAlign w:val="center"/>
          </w:tcPr>
          <w:p>
            <w:pPr>
              <w:spacing w:after="0"/>
            </w:pPr>
            <w:r>
              <w:rPr>
                <w:rFonts w:ascii="Calibri" w:hAnsi="Calibri"/>
                <w:color w:val="111111"/>
                <w:sz w:val="18"/>
              </w:rPr>
              <w:t>Documentation</w:t>
            </w:r>
          </w:p>
        </w:tc>
        <w:tc>
          <w:tcPr>
            <w:tcW w:type="dxa" w:w="6960"/>
            <w:tcMar>
              <w:top w:w="80" w:type="dxa"/>
              <w:start w:w="120" w:type="dxa"/>
              <w:bottom w:w="80" w:type="dxa"/>
              <w:end w:w="120" w:type="dxa"/>
            </w:tcMar>
            <w:vAlign w:val="center"/>
          </w:tcPr>
          <w:p>
            <w:pPr>
              <w:spacing w:after="0"/>
            </w:pPr>
            <w:r>
              <w:rPr>
                <w:rFonts w:ascii="Calibri" w:hAnsi="Calibri"/>
                <w:color w:val="111111"/>
                <w:sz w:val="18"/>
              </w:rPr>
              <w:t>Project plan, decision log, SageMaker runbook, README, requirements, and final submission package.</w:t>
            </w:r>
          </w:p>
        </w:tc>
      </w:tr>
    </w:tbl>
    <w:p>
      <w:pPr>
        <w:spacing w:after="40"/>
      </w:pPr>
    </w:p>
    <w:p>
      <w:pPr>
        <w:pStyle w:val="Heading2"/>
        <w:keepNext/>
      </w:pPr>
      <w:r>
        <w:rPr>
          <w:rFonts w:ascii="Calibri" w:hAnsi="Calibri"/>
          <w:b/>
          <w:color w:val="2E74B5"/>
          <w:sz w:val="26"/>
        </w:rPr>
        <w:t>Suggested next improvements</w:t>
      </w:r>
    </w:p>
    <w:p>
      <w:pPr>
        <w:pStyle w:val="ListBullet"/>
        <w:spacing w:after="80"/>
      </w:pPr>
      <w:r>
        <w:rPr>
          <w:rFonts w:ascii="Calibri" w:hAnsi="Calibri"/>
          <w:color w:val="111111"/>
          <w:sz w:val="22"/>
        </w:rPr>
        <w:t>Measure lexical union blocking recall@K on the full validation split and tune K within compute budget.</w:t>
      </w:r>
    </w:p>
    <w:p>
      <w:pPr>
        <w:pStyle w:val="ListBullet"/>
        <w:spacing w:after="80"/>
      </w:pPr>
      <w:r>
        <w:rPr>
          <w:rFonts w:ascii="Calibri" w:hAnsi="Calibri"/>
          <w:color w:val="111111"/>
          <w:sz w:val="22"/>
        </w:rPr>
        <w:t>Generate feature tables for candidates and train/compare LightGBM configurations using the fixed stratified holdout.</w:t>
      </w:r>
    </w:p>
    <w:p>
      <w:pPr>
        <w:pStyle w:val="ListBullet"/>
        <w:spacing w:after="80"/>
      </w:pPr>
      <w:r>
        <w:rPr>
          <w:rFonts w:ascii="Calibri" w:hAnsi="Calibri"/>
          <w:color w:val="111111"/>
          <w:sz w:val="22"/>
        </w:rPr>
        <w:t>Add a neural reranker only if it provides a measured gain over the GBM stage and is viable within GPU quota/cost limits.</w:t>
      </w:r>
    </w:p>
    <w:p>
      <w:pPr>
        <w:pStyle w:val="ListBullet"/>
        <w:spacing w:after="80"/>
      </w:pPr>
      <w:r>
        <w:rPr>
          <w:rFonts w:ascii="Calibri" w:hAnsi="Calibri"/>
          <w:color w:val="111111"/>
          <w:sz w:val="22"/>
        </w:rPr>
        <w:t>Tune global and segmented acceptance thresholds directly against macro F₀.₅, then analyze errors by country, source, cardinality, and corruption type.</w:t>
      </w:r>
    </w:p>
    <w:p>
      <w:pPr>
        <w:pStyle w:val="ListBullet"/>
        <w:spacing w:after="80"/>
      </w:pPr>
      <w:r>
        <w:rPr>
          <w:rFonts w:ascii="Calibri" w:hAnsi="Calibri"/>
          <w:color w:val="111111"/>
          <w:sz w:val="22"/>
        </w:rPr>
        <w:t>Record each experiment configuration, runtime, validation metrics, and validator outcome in artifacts/runs.jsonl.</w:t>
      </w:r>
    </w:p>
    <w:p>
      <w:pPr>
        <w:pStyle w:val="Heading2"/>
        <w:keepNext/>
      </w:pPr>
      <w:r>
        <w:rPr>
          <w:rFonts w:ascii="Calibri" w:hAnsi="Calibri"/>
          <w:b/>
          <w:color w:val="2E74B5"/>
          <w:sz w:val="26"/>
        </w:rPr>
        <w:t>Short presentation script</w:t>
      </w:r>
    </w:p>
    <w:p>
      <w:r>
        <w:rPr>
          <w:rFonts w:ascii="Calibri" w:hAnsi="Calibri"/>
          <w:color w:val="111111"/>
          <w:sz w:val="22"/>
        </w:rPr>
        <w:t>“Our challenge was to connect noisy business records at millions-of-rows scale. We first made the process reliable: portable notebooks, S3-based staging, reproducible artifacts, and a validator-clean submission. Our final system is a precise, explainable joint-key matcher with country partitioning and global exclusivity, improving held-out macro F₀.₅ from 0.125270 to 0.141762. The scalable next layer is a candidate-retrieval, LightGBM, and neural-reranking cascade on SageMaker, where expensive models only score a small top-K candidate set.”</w:t>
      </w:r>
    </w:p>
    <w:p>
      <w:pPr>
        <w:pStyle w:val="Heading2"/>
        <w:keepNext/>
      </w:pPr>
      <w:r>
        <w:rPr>
          <w:rFonts w:ascii="Calibri" w:hAnsi="Calibri"/>
          <w:b/>
          <w:color w:val="2E74B5"/>
          <w:sz w:val="26"/>
        </w:rPr>
        <w:t>Source basis</w:t>
      </w:r>
    </w:p>
    <w:p>
      <w:r>
        <w:rPr>
          <w:rFonts w:ascii="Calibri" w:hAnsi="Calibri"/>
          <w:color w:val="111111"/>
          <w:sz w:val="22"/>
        </w:rPr>
        <w:t>This report is based on the project plan, decision log, SageMaker runbook, pinned requirements, executed submission documentation, source modules, and final output artefacts in the challenge workspace. Values marked as final refer to the documented held-out evaluation and validator result.</w:t>
      </w:r>
    </w:p>
    <w:sectPr w:rsidR="00FC693F" w:rsidRPr="0006063C" w:rsidSect="00034616">
      <w:headerReference w:type="default" r:id="rId9"/>
      <w:footerReference w:type="default" r:id="rId10"/>
      <w:pgSz w:w="12240" w:h="15840"/>
      <w:pgMar w:top="1224" w:right="1440" w:bottom="1224"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B6573"/>
        <w:sz w:val="17"/>
      </w:rPr>
      <w:t>Business Entity Resolution Challenge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7"/>
      </w:rPr>
      <w:t>AMAZON ML CHALLENGE 2026  |  WINNING SUBMISSION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