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2B77E">
      <w:pPr>
        <w:spacing w:before="600" w:after="120"/>
        <w:jc w:val="center"/>
        <w:rPr>
          <w:sz w:val="16"/>
          <w:szCs w:val="18"/>
        </w:rPr>
      </w:pPr>
      <w:r>
        <w:rPr>
          <w:b/>
          <w:bCs/>
          <w:sz w:val="44"/>
          <w:szCs w:val="44"/>
        </w:rPr>
        <w:t>Telco Customer Churn</w:t>
      </w:r>
    </w:p>
    <w:p w14:paraId="7C22C066">
      <w:pPr>
        <w:spacing w:after="600"/>
        <w:jc w:val="center"/>
        <w:rPr>
          <w:color w:val="444444"/>
          <w:sz w:val="28"/>
          <w:szCs w:val="28"/>
        </w:rPr>
      </w:pPr>
      <w:r>
        <w:rPr>
          <w:color w:val="444444"/>
          <w:sz w:val="28"/>
          <w:szCs w:val="28"/>
        </w:rPr>
        <w:t>Exploratory Data Analysis — Findings Summary</w:t>
      </w:r>
    </w:p>
    <w:p w14:paraId="2D52A271">
      <w:pPr>
        <w:spacing w:after="600"/>
        <w:jc w:val="center"/>
        <w:rPr>
          <w:sz w:val="20"/>
          <w:szCs w:val="21"/>
        </w:rPr>
      </w:pPr>
      <w:r>
        <w:rPr>
          <w:i/>
          <w:iCs/>
          <w:sz w:val="20"/>
          <w:szCs w:val="21"/>
        </w:rPr>
        <w:t>Dataset: 7,043 customers (telco_processed.csv + customer_ids.csv). No missing values, no duplicate customer IDs.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F617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FEFE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46B8BFF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Overall Churn Rate: 26.5%</w:t>
            </w:r>
          </w:p>
          <w:p w14:paraId="06903E72">
            <w:pPr>
              <w:jc w:val="center"/>
            </w:pPr>
            <w:r>
              <w:rPr>
                <w:color w:val="555555"/>
                <w:sz w:val="22"/>
                <w:szCs w:val="22"/>
              </w:rPr>
              <w:t>1,869 of 7,043 customers churned</w:t>
            </w:r>
          </w:p>
        </w:tc>
      </w:tr>
    </w:tbl>
    <w:p w14:paraId="33DD949C">
      <w:pPr>
        <w:spacing w:after="400"/>
      </w:pPr>
    </w:p>
    <w:p w14:paraId="056F8C5C">
      <w:pPr>
        <w:spacing w:before="120" w:after="80"/>
        <w:jc w:val="center"/>
      </w:pPr>
      <w:r>
        <w:drawing>
          <wp:inline distT="0" distB="0" distL="0" distR="0">
            <wp:extent cx="4286250" cy="3238500"/>
            <wp:effectExtent l="0" t="0" r="1143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DF35BD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Figure 1. Overall churn distribution across all 7,043 customers.</w:t>
      </w:r>
    </w:p>
    <w:p w14:paraId="653FFD38">
      <w:pPr>
        <w:pStyle w:val="2"/>
        <w:spacing w:before="280" w:after="160"/>
      </w:pPr>
      <w:r>
        <w:t>Key Findings</w:t>
      </w:r>
    </w:p>
    <w:p w14:paraId="715A473B">
      <w:pPr>
        <w:pStyle w:val="3"/>
        <w:spacing w:before="280" w:after="160"/>
      </w:pPr>
      <w:r>
        <w:t>1. Contract type is the strongest driver of churn.</w:t>
      </w:r>
    </w:p>
    <w:p w14:paraId="0E8921B7">
      <w:pPr>
        <w:spacing w:after="160"/>
      </w:pPr>
      <w:r>
        <w:t>Month-to-month customers churn at 42.7%, vs. 11.3% for one-year contracts and just 2.8% for two-year contracts. Converting month-to-month customers onto longer terms is likely the single highest-leverage retention lever available.</w:t>
      </w:r>
    </w:p>
    <w:p w14:paraId="591491F6">
      <w:pPr>
        <w:spacing w:before="120" w:after="80"/>
        <w:jc w:val="center"/>
      </w:pPr>
      <w:r>
        <w:drawing>
          <wp:inline distT="0" distB="0" distL="0" distR="0">
            <wp:extent cx="3810000" cy="2543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70BC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Figure 2. Churn rate by contract type.</w:t>
      </w:r>
    </w:p>
    <w:p w14:paraId="5BC4AE5C">
      <w:pPr>
        <w:pStyle w:val="3"/>
        <w:spacing w:before="280" w:after="160"/>
      </w:pPr>
      <w:r>
        <w:t>2. Churn is concentrated in the first year of tenure.</w:t>
      </w:r>
    </w:p>
    <w:p w14:paraId="78DDFC3A">
      <w:pPr>
        <w:spacing w:after="160"/>
      </w:pPr>
      <w:r>
        <w:t>Customers with 0–12 months tenure churn at 47.4%, falling steadily to 6.6% for customers with 61–72 months tenure. Median tenure of churned customers is 10 months vs. 38 months for retained customers — the first year is the critical retention window.</w:t>
      </w:r>
    </w:p>
    <w:p w14:paraId="7F4D45AF">
      <w:pPr>
        <w:spacing w:before="120" w:after="80"/>
        <w:jc w:val="center"/>
      </w:pPr>
      <w:r>
        <w:drawing>
          <wp:inline distT="0" distB="0" distL="0" distR="0">
            <wp:extent cx="3810000" cy="2543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AE3C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Figure 3. Churn rate by tenure group (months).</w:t>
      </w:r>
    </w:p>
    <w:p w14:paraId="130255E7">
      <w:pPr>
        <w:pStyle w:val="3"/>
        <w:spacing w:before="280" w:after="160"/>
      </w:pPr>
      <w:r>
        <w:t>3. Fiber optic internet and higher bills correlate strongly with churn.</w:t>
      </w:r>
    </w:p>
    <w:p w14:paraId="186A2AB3">
      <w:pPr>
        <w:spacing w:after="160"/>
      </w:pPr>
      <w:r>
        <w:t>Fiber optic customers churn at 41.9% vs. 19.0% for DSL and 7.4% for customers with no internet service. Churned customers pay $74.44/month on average vs. $61.27 for retained customers. The riskiest combination is month-to-month + fiber optic, which churns at 54.6% — over half.</w:t>
      </w:r>
    </w:p>
    <w:p w14:paraId="04FB6136">
      <w:pPr>
        <w:spacing w:before="120" w:after="80"/>
        <w:jc w:val="center"/>
      </w:pPr>
      <w:r>
        <w:drawing>
          <wp:inline distT="0" distB="0" distL="0" distR="0">
            <wp:extent cx="3810000" cy="25431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5DBB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Figure 4. Churn rate by internet service type.</w:t>
      </w:r>
    </w:p>
    <w:p w14:paraId="4B7432BB">
      <w:pPr>
        <w:pStyle w:val="3"/>
        <w:spacing w:before="280" w:after="160"/>
      </w:pPr>
      <w:r>
        <w:t>4. Non-automatic payment methods flag high churn risk.</w:t>
      </w:r>
    </w:p>
    <w:p w14:paraId="23002E03">
      <w:pPr>
        <w:spacing w:after="160"/>
      </w:pPr>
      <w:r>
        <w:t>Electronic check users churn at 45.3% — roughly 3x the rate of customers on automatic bank transfer (16.7%) or credit card (15.2%) payment, and well above mailed check (19.1%).</w:t>
      </w:r>
    </w:p>
    <w:p w14:paraId="580218BB">
      <w:pPr>
        <w:spacing w:before="120" w:after="80"/>
        <w:jc w:val="center"/>
      </w:pPr>
      <w:r>
        <w:drawing>
          <wp:inline distT="0" distB="0" distL="0" distR="0">
            <wp:extent cx="4095750" cy="23336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7574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Figure 5. Churn rate by payment method.</w:t>
      </w:r>
    </w:p>
    <w:p w14:paraId="1595A314">
      <w:pPr>
        <w:pStyle w:val="3"/>
        <w:spacing w:before="280" w:after="160"/>
      </w:pPr>
      <w:r>
        <w:t>5. Missing support services (not entertainment add-ons) predict churn.</w:t>
      </w:r>
    </w:p>
    <w:p w14:paraId="0B2A902F">
      <w:pPr>
        <w:spacing w:after="160"/>
      </w:pPr>
      <w:r>
        <w:t>Customers without OnlineSecurity or TechSupport churn at ~42%, compared to ~15% for those who have these services — a much larger gap than for StreamingTV/StreamingMovies, where churn sits around 30–34% regardless of the add-on. This suggests proactive support/security bundling is a more effective retention tool than entertainment upsells.</w:t>
      </w:r>
    </w:p>
    <w:p w14:paraId="647FF47B">
      <w:pPr>
        <w:spacing w:before="120" w:after="80"/>
        <w:jc w:val="center"/>
      </w:pPr>
      <w:r>
        <w:drawing>
          <wp:inline distT="0" distB="0" distL="0" distR="0">
            <wp:extent cx="4000500" cy="3200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575E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Figure 6. Churn rate by selected add-on services.</w:t>
      </w:r>
    </w:p>
    <w:p w14:paraId="19924D56">
      <w:pPr>
        <w:pStyle w:val="3"/>
        <w:spacing w:before="280" w:after="160"/>
      </w:pPr>
      <w:r>
        <w:t>6. Household/family ties reduce churn.</w:t>
      </w:r>
    </w:p>
    <w:p w14:paraId="3E0F3B7C">
      <w:pPr>
        <w:spacing w:after="160"/>
      </w:pPr>
      <w:r>
        <w:t>Senior citizens churn nearly twice as often as non-seniors (41.7% vs. 23.6%). Customers without a partner (33.0% vs. 19.7%) or without dependents (31.3% vs. 15.5%) also churn more — single and senior customers with fewer household ties to the service are a segment worth targeted retention offers.</w:t>
      </w:r>
    </w:p>
    <w:p w14:paraId="6F57749F">
      <w:pPr>
        <w:spacing w:before="120" w:after="80"/>
        <w:jc w:val="center"/>
      </w:pPr>
      <w:r>
        <w:drawing>
          <wp:inline distT="0" distB="0" distL="0" distR="0">
            <wp:extent cx="4381500" cy="14573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C08C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Figure 7. Churn rate by customer demographics.</w:t>
      </w:r>
    </w:p>
    <w:p w14:paraId="510FBF51">
      <w:pPr>
        <w:pStyle w:val="2"/>
        <w:spacing w:before="280" w:after="160"/>
      </w:pPr>
      <w:r>
        <w:t>Combined View: Contract × Internet Service</w:t>
      </w:r>
    </w:p>
    <w:p w14:paraId="3219572D">
      <w:pPr>
        <w:spacing w:after="160"/>
      </w:pPr>
      <w:r>
        <w:t>The highest-risk segment is unambiguous — month-to-month + fiber optic customers churn at 54.6%, more than half. Two-year contract customers churn below 8% regardless of internet type. Contract length is the dominant lever, with fiber optic amplifying risk within any given contract term.</w:t>
      </w:r>
    </w:p>
    <w:p w14:paraId="574005D8">
      <w:pPr>
        <w:spacing w:before="120" w:after="80"/>
        <w:jc w:val="center"/>
      </w:pPr>
      <w:r>
        <w:drawing>
          <wp:inline distT="0" distB="0" distL="0" distR="0">
            <wp:extent cx="3810000" cy="25431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EF33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Figure 8. Churn rate (%) — Contract Type × Internet Service.</w:t>
      </w:r>
    </w:p>
    <w:p w14:paraId="685B48CF">
      <w:pPr>
        <w:pStyle w:val="2"/>
        <w:spacing w:before="280" w:after="160"/>
      </w:pPr>
      <w:r>
        <w:t>Recommended Focus Areas for Downstream Reporting (Power BI)</w:t>
      </w:r>
    </w:p>
    <w:p w14:paraId="29B34CA4">
      <w:pPr>
        <w:pStyle w:val="16"/>
        <w:numPr>
          <w:ilvl w:val="0"/>
          <w:numId w:val="1"/>
        </w:numPr>
        <w:spacing w:after="120"/>
      </w:pPr>
      <w:r>
        <w:t>Segment customers by Contract × Tenure × InternetService as the primary churn-risk cube (see the heatmap above).</w:t>
      </w:r>
    </w:p>
    <w:p w14:paraId="273F3AA1">
      <w:pPr>
        <w:pStyle w:val="16"/>
        <w:numPr>
          <w:ilvl w:val="0"/>
          <w:numId w:val="1"/>
        </w:numPr>
        <w:spacing w:after="120"/>
      </w:pPr>
      <w:r>
        <w:t>Flag electronic check + month-to-month customers as a high-priority outreach list.</w:t>
      </w:r>
    </w:p>
    <w:p w14:paraId="260FE11D">
      <w:pPr>
        <w:pStyle w:val="16"/>
        <w:numPr>
          <w:ilvl w:val="0"/>
          <w:numId w:val="1"/>
        </w:numPr>
        <w:spacing w:after="120"/>
      </w:pPr>
      <w:r>
        <w:t>Track a “first 12 months” cohort view given how disproportionately churn concentrates there.</w:t>
      </w:r>
    </w:p>
    <w:p w14:paraId="00A80AE4">
      <w:pPr>
        <w:pStyle w:val="2"/>
        <w:spacing w:before="280" w:after="160"/>
      </w:pPr>
      <w:r>
        <w:t>Note on customerID</w:t>
      </w:r>
    </w:p>
    <w:p w14:paraId="14438048">
      <w:pPr>
        <w:spacing w:after="160"/>
      </w:pPr>
      <w:r>
        <w:rPr>
          <w:b/>
          <w:bCs/>
        </w:rPr>
        <w:t>customerID</w:t>
      </w:r>
      <w:r>
        <w:t xml:space="preserve"> was correctly dropped from telco_processed.csv before analysis, since it's a unique identifier with no genuine predictive relationship to churn — including it in a model risks noise or spurious leakage (e.g., if IDs were assigned in a way that happens to correlate with signup date).</w:t>
      </w:r>
    </w:p>
    <w:p w14:paraId="7B9A973F">
      <w:pPr>
        <w:spacing w:after="160"/>
      </w:pPr>
      <w:r>
        <w:t xml:space="preserve">It has been re-added in </w:t>
      </w:r>
      <w:r>
        <w:rPr>
          <w:b/>
          <w:bCs/>
        </w:rPr>
        <w:t>telco_with_ids.csv</w:t>
      </w:r>
      <w:r>
        <w:t xml:space="preserve"> for reporting/BI purposes only — to allow row-level traceability and joins to other customer systems (CRM, billing, support tickets) in Power BI. It is </w:t>
      </w:r>
      <w:r>
        <w:rPr>
          <w:b/>
          <w:bCs/>
        </w:rPr>
        <w:t>not</w:t>
      </w:r>
      <w:r>
        <w:t xml:space="preserve"> used in any aggregation, chart, or analysis in this notebook.</w:t>
      </w:r>
    </w:p>
    <w:p w14:paraId="3C7F1322">
      <w:pPr>
        <w:spacing w:after="160"/>
      </w:pPr>
      <w:r>
        <w:rPr>
          <w:b/>
          <w:bCs/>
        </w:rPr>
        <w:t xml:space="preserve">Action for anyone building a predictive model on this data: </w:t>
      </w:r>
      <w:r>
        <w:t>drop customerID again before training. It should only ever be used as an identifier/join key, never as a model feature.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46433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704</Words>
  <Characters>4285</Characters>
  <TotalTime>1</TotalTime>
  <ScaleCrop>false</ScaleCrop>
  <LinksUpToDate>false</LinksUpToDate>
  <CharactersWithSpaces>4940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2026-08-29T16:02:00Z</dcterms:created>
  <dc:creator>Un-named</dc:creator>
  <cp:lastModifiedBy>Kalpana Rishi</cp:lastModifiedBy>
  <dcterms:modified xsi:type="dcterms:W3CDTF">2026-08-29T16:14:45Z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eyJoZGlkIjoiYmZkYmUzODkzNjNjY2I0MzY3N2Y0OTlhMzk4YmE0MWQiLCJ1c2VySWQiOiI1NjcxNDE3ODc3MzYifQ==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83AC8192AC414C88A7E5E6D03D4D558B_12</vt:lpwstr>
  </property>
</Properties>
</file>