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浩鲸三大系统数据维护实施要求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/>
        </w:rPr>
        <w:t xml:space="preserve">   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 xml:space="preserve"> 浩鲸三大系统日常维护中，维护人员若涉及</w:t>
      </w:r>
      <w:r>
        <w:rPr>
          <w:rFonts w:hint="eastAsia" w:ascii="仿宋" w:hAnsi="仿宋" w:eastAsia="仿宋" w:cs="仿宋"/>
          <w:sz w:val="28"/>
          <w:szCs w:val="36"/>
        </w:rPr>
        <w:t>对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生产数据库里的</w:t>
      </w:r>
      <w:r>
        <w:rPr>
          <w:rFonts w:hint="eastAsia" w:ascii="仿宋" w:hAnsi="仿宋" w:eastAsia="仿宋" w:cs="仿宋"/>
          <w:sz w:val="28"/>
          <w:szCs w:val="36"/>
        </w:rPr>
        <w:t>数据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进行操作必须提前在浩鲸数据操作审核群里报备审批，并</w:t>
      </w:r>
      <w:r>
        <w:rPr>
          <w:rFonts w:hint="eastAsia" w:ascii="仿宋" w:hAnsi="仿宋" w:eastAsia="仿宋" w:cs="仿宋"/>
          <w:sz w:val="28"/>
          <w:szCs w:val="36"/>
        </w:rPr>
        <w:t>对具体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操作</w:t>
      </w:r>
      <w:r>
        <w:rPr>
          <w:rFonts w:hint="eastAsia" w:ascii="仿宋" w:hAnsi="仿宋" w:eastAsia="仿宋" w:cs="仿宋"/>
          <w:sz w:val="28"/>
          <w:szCs w:val="36"/>
        </w:rPr>
        <w:t>进行编号，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实施闭环管理。</w:t>
      </w:r>
      <w:r>
        <w:rPr>
          <w:rFonts w:hint="eastAsia" w:ascii="仿宋" w:hAnsi="仿宋" w:eastAsia="仿宋" w:cs="仿宋"/>
          <w:sz w:val="28"/>
          <w:szCs w:val="36"/>
        </w:rPr>
        <w:t>具体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操作审批步骤</w:t>
      </w:r>
      <w:r>
        <w:rPr>
          <w:rFonts w:hint="eastAsia" w:ascii="仿宋" w:hAnsi="仿宋" w:eastAsia="仿宋" w:cs="仿宋"/>
          <w:sz w:val="28"/>
          <w:szCs w:val="36"/>
        </w:rPr>
        <w:t>如下：</w:t>
      </w:r>
    </w:p>
    <w:p>
      <w:pPr>
        <w:rPr>
          <w:rFonts w:hint="eastAsia" w:ascii="仿宋" w:hAnsi="仿宋" w:eastAsia="仿宋" w:cs="仿宋"/>
          <w:sz w:val="28"/>
          <w:szCs w:val="36"/>
          <w:lang w:eastAsia="zh-CN"/>
        </w:rPr>
      </w:pPr>
      <w:r>
        <w:rPr>
          <w:rFonts w:hint="eastAsia" w:ascii="仿宋" w:hAnsi="仿宋" w:eastAsia="仿宋" w:cs="仿宋"/>
          <w:sz w:val="28"/>
          <w:szCs w:val="36"/>
        </w:rPr>
        <w:tab/>
      </w:r>
      <w:r>
        <w:rPr>
          <w:rFonts w:hint="eastAsia" w:ascii="仿宋" w:hAnsi="仿宋" w:eastAsia="仿宋" w:cs="仿宋"/>
          <w:sz w:val="28"/>
          <w:szCs w:val="36"/>
        </w:rPr>
        <w:t>1、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申请流程：需维护人员确定</w:t>
      </w:r>
      <w:r>
        <w:rPr>
          <w:rFonts w:hint="eastAsia" w:ascii="仿宋" w:hAnsi="仿宋" w:eastAsia="仿宋" w:cs="仿宋"/>
          <w:sz w:val="28"/>
          <w:szCs w:val="36"/>
        </w:rPr>
        <w:t>操作需求，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确认操作类型，申请执行操作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36"/>
        </w:rPr>
        <w:t>并对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操作</w:t>
      </w:r>
      <w:r>
        <w:rPr>
          <w:rFonts w:hint="eastAsia" w:ascii="仿宋" w:hAnsi="仿宋" w:eastAsia="仿宋" w:cs="仿宋"/>
          <w:sz w:val="28"/>
          <w:szCs w:val="36"/>
        </w:rPr>
        <w:t>进行编号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操作</w:t>
      </w:r>
      <w:r>
        <w:rPr>
          <w:rFonts w:hint="eastAsia" w:ascii="仿宋" w:hAnsi="仿宋" w:eastAsia="仿宋" w:cs="仿宋"/>
          <w:sz w:val="28"/>
          <w:szCs w:val="36"/>
        </w:rPr>
        <w:t>编号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规范</w:t>
      </w:r>
      <w:r>
        <w:rPr>
          <w:rFonts w:hint="eastAsia" w:ascii="仿宋" w:hAnsi="仿宋" w:eastAsia="仿宋" w:cs="仿宋"/>
          <w:sz w:val="28"/>
          <w:szCs w:val="36"/>
        </w:rPr>
        <w:t>为yyyymmdd-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维护人员姓名-</w:t>
      </w:r>
      <w:r>
        <w:rPr>
          <w:rFonts w:hint="eastAsia" w:ascii="仿宋" w:hAnsi="仿宋" w:eastAsia="仿宋" w:cs="仿宋"/>
          <w:sz w:val="28"/>
          <w:szCs w:val="36"/>
        </w:rPr>
        <w:t>问题编号-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36"/>
        </w:rPr>
        <w:t>(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例如20220927-黄起养-1-（1），代表2022年09月27日黄起养第1个问题的处理脚本，审核脚本步骤为步骤1</w:t>
      </w:r>
      <w:r>
        <w:rPr>
          <w:rFonts w:hint="eastAsia" w:ascii="仿宋" w:hAnsi="仿宋" w:eastAsia="仿宋" w:cs="仿宋"/>
          <w:sz w:val="28"/>
          <w:szCs w:val="36"/>
        </w:rPr>
        <w:t>)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</w:rPr>
        <w:tab/>
      </w:r>
      <w:r>
        <w:rPr>
          <w:rFonts w:hint="eastAsia" w:ascii="仿宋" w:hAnsi="仿宋" w:eastAsia="仿宋" w:cs="仿宋"/>
          <w:sz w:val="28"/>
          <w:szCs w:val="36"/>
        </w:rPr>
        <w:t>2、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审批流程：根据涉及的数据量需要相应管理人员进行审批，相应的管理人员都同意后，维护人员将脚本编号改为</w:t>
      </w:r>
      <w:r>
        <w:rPr>
          <w:rFonts w:hint="eastAsia" w:ascii="仿宋" w:hAnsi="仿宋" w:eastAsia="仿宋" w:cs="仿宋"/>
          <w:sz w:val="28"/>
          <w:szCs w:val="36"/>
        </w:rPr>
        <w:t>yyyymmdd-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维护人员姓名-</w:t>
      </w:r>
      <w:r>
        <w:rPr>
          <w:rFonts w:hint="eastAsia" w:ascii="仿宋" w:hAnsi="仿宋" w:eastAsia="仿宋" w:cs="仿宋"/>
          <w:sz w:val="28"/>
          <w:szCs w:val="36"/>
        </w:rPr>
        <w:t>问题编号-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2：</w:t>
      </w:r>
    </w:p>
    <w:p>
      <w:pPr>
        <w:ind w:firstLine="840" w:firstLineChars="30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（1）涉及十条数据处理以下需浩鲸运维小组长进行审批；</w:t>
      </w:r>
    </w:p>
    <w:p>
      <w:pPr>
        <w:ind w:firstLine="840" w:firstLineChars="30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（2）涉及十条数据处理以上需浩鲸运维主管、系统管理员审批；</w:t>
      </w:r>
    </w:p>
    <w:p>
      <w:pPr>
        <w:ind w:firstLine="840" w:firstLineChars="30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（3）涉及一个地市数据处理需网运中心室主管、项目经理、系统管理员审批；</w:t>
      </w:r>
    </w:p>
    <w:p>
      <w:pPr>
        <w:ind w:firstLine="840" w:firstLineChars="30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（4）涉及一个地市以上数据处理需要网运中心二级领导、室主管审批；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</w:rPr>
        <w:tab/>
      </w:r>
      <w:r>
        <w:rPr>
          <w:rFonts w:hint="eastAsia" w:ascii="仿宋" w:hAnsi="仿宋" w:eastAsia="仿宋" w:cs="仿宋"/>
          <w:sz w:val="28"/>
          <w:szCs w:val="36"/>
        </w:rPr>
        <w:t>3、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备份表流程：审批后维护人员需要先对相应表进行备份，维护人员将脚本编号转为</w:t>
      </w:r>
      <w:r>
        <w:rPr>
          <w:rFonts w:hint="eastAsia" w:ascii="仿宋" w:hAnsi="仿宋" w:eastAsia="仿宋" w:cs="仿宋"/>
          <w:sz w:val="28"/>
          <w:szCs w:val="36"/>
        </w:rPr>
        <w:t>yyyymmdd-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维护人员姓名-</w:t>
      </w:r>
      <w:r>
        <w:rPr>
          <w:rFonts w:hint="eastAsia" w:ascii="仿宋" w:hAnsi="仿宋" w:eastAsia="仿宋" w:cs="仿宋"/>
          <w:sz w:val="28"/>
          <w:szCs w:val="36"/>
        </w:rPr>
        <w:t>问题编号-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3，并将截图或附件的形式发在群上。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</w:rPr>
        <w:tab/>
      </w:r>
      <w:r>
        <w:rPr>
          <w:rFonts w:hint="eastAsia" w:ascii="仿宋" w:hAnsi="仿宋" w:eastAsia="仿宋" w:cs="仿宋"/>
          <w:sz w:val="28"/>
          <w:szCs w:val="36"/>
        </w:rPr>
        <w:t>4、执行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操作流程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经过上述步骤后才能执行脚本。执行完脚本后，维护人员在群上向审批人反馈本次操作是否达到预期效果，维护人员将脚本编号改为</w:t>
      </w:r>
      <w:r>
        <w:rPr>
          <w:rFonts w:hint="eastAsia" w:ascii="仿宋" w:hAnsi="仿宋" w:eastAsia="仿宋" w:cs="仿宋"/>
          <w:sz w:val="28"/>
          <w:szCs w:val="36"/>
        </w:rPr>
        <w:t>yyyymmdd-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维护人员姓名-</w:t>
      </w:r>
      <w:r>
        <w:rPr>
          <w:rFonts w:hint="eastAsia" w:ascii="仿宋" w:hAnsi="仿宋" w:eastAsia="仿宋" w:cs="仿宋"/>
          <w:sz w:val="28"/>
          <w:szCs w:val="36"/>
        </w:rPr>
        <w:t>问题编号-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4。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附录：审批人名单</w:t>
      </w:r>
    </w:p>
    <w:tbl>
      <w:tblPr>
        <w:tblStyle w:val="4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080" w:type="dxa"/>
            <w:shd w:val="clear" w:color="auto" w:fill="A9D08E" w:themeFill="accent6" w:themeFillTint="98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3080" w:type="dxa"/>
            <w:shd w:val="clear" w:color="auto" w:fill="A9D08E" w:themeFill="accent6" w:themeFillTint="98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部门</w:t>
            </w:r>
          </w:p>
        </w:tc>
        <w:tc>
          <w:tcPr>
            <w:tcW w:w="3080" w:type="dxa"/>
            <w:shd w:val="clear" w:color="auto" w:fill="A9D08E" w:themeFill="accent6" w:themeFillTint="98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陈励锋</w:t>
            </w:r>
          </w:p>
        </w:tc>
        <w:tc>
          <w:tcPr>
            <w:tcW w:w="3080" w:type="dxa"/>
            <w:vAlign w:val="center"/>
          </w:tcPr>
          <w:p>
            <w:pPr>
              <w:tabs>
                <w:tab w:val="left" w:pos="708"/>
              </w:tabs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广西网络运营中心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副总经理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钟雪飞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广西网络运营中心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网管室主管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陈清元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广西网络运营中心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监控室主管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牟瀚波</w:t>
            </w:r>
          </w:p>
        </w:tc>
        <w:tc>
          <w:tcPr>
            <w:tcW w:w="3080" w:type="dxa"/>
            <w:vAlign w:val="center"/>
          </w:tcPr>
          <w:p>
            <w:pPr>
              <w:tabs>
                <w:tab w:val="left" w:pos="708"/>
              </w:tabs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广西网络运营中心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资源中心系统管理员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谭瑛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广西网络运营中心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资源中心系统管理员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卢俊丞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广西网络运营中心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IOM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龙昱磊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广西网络运营中心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编排系统管理员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廖朝南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浩鲸公司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三大运维主管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陈会德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浩鲸公司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资源中心项目经理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陈春海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浩鲸公司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编排项目经理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覃俊铭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浩鲸公司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资源维护小组长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文春华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浩鲸公司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IOM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维护小组长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黄礼潘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浩鲸公司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编排维护小组长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90AD5"/>
    <w:rsid w:val="1BE23FAD"/>
    <w:rsid w:val="20B90AD5"/>
    <w:rsid w:val="30460EC6"/>
    <w:rsid w:val="39D64EAF"/>
    <w:rsid w:val="3C4E79FF"/>
    <w:rsid w:val="63D54B05"/>
    <w:rsid w:val="6CE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Sample"/>
    <w:basedOn w:val="5"/>
    <w:uiPriority w:val="0"/>
    <w:rPr>
      <w:rFonts w:ascii="monospace" w:hAnsi="monospace" w:eastAsia="monospace" w:cs="monospace"/>
      <w:sz w:val="24"/>
      <w:szCs w:val="24"/>
    </w:rPr>
  </w:style>
  <w:style w:type="character" w:customStyle="1" w:styleId="7">
    <w:name w:val="wptheme-sidenavitem"/>
    <w:basedOn w:val="5"/>
    <w:uiPriority w:val="0"/>
    <w:rPr>
      <w:b/>
      <w:bCs/>
    </w:rPr>
  </w:style>
  <w:style w:type="character" w:customStyle="1" w:styleId="8">
    <w:name w:val="wptheme-sidenavitem1"/>
    <w:basedOn w:val="5"/>
    <w:qFormat/>
    <w:uiPriority w:val="0"/>
    <w:rPr>
      <w:bdr w:val="single" w:color="BDBDBD" w:sz="2" w:space="0"/>
    </w:rPr>
  </w:style>
  <w:style w:type="character" w:customStyle="1" w:styleId="9">
    <w:name w:val="wptheme-sidenavitem2"/>
    <w:basedOn w:val="5"/>
    <w:uiPriority w:val="0"/>
    <w:rPr>
      <w:b/>
      <w:bCs/>
    </w:rPr>
  </w:style>
  <w:style w:type="character" w:customStyle="1" w:styleId="10">
    <w:name w:val="wptheme-sidenavitem3"/>
    <w:basedOn w:val="5"/>
    <w:qFormat/>
    <w:uiPriority w:val="0"/>
    <w:rPr>
      <w:bdr w:val="single" w:color="BDBDBD" w:sz="2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广西有限公司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2022-09-27T03:15:00Z</dcterms:created>
  <dc:creator>Lenovo</dc:creator>
  <cp:lastModifiedBy>fangzheng</cp:lastModifiedBy>
  <dcterms:modified xsi:type="dcterms:W3CDTF">2022-09-27T06:52:32Z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7556EAD807814E3995647DED2D296409</vt:lpwstr>
  </property>
</Properties>
</file>