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Google Sans" w:cs="Google Sans" w:eastAsia="Google Sans" w:hAnsi="Google Sans"/>
        </w:rPr>
      </w:pPr>
      <w:bookmarkStart w:colFirst="0" w:colLast="0" w:name="_5bzr15s3ioot" w:id="0"/>
      <w:bookmarkEnd w:id="0"/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423863" cy="4677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9423" l="6250" r="73557" t="38461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6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Teaching TensorFlow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Google Sans" w:cs="Google Sans" w:eastAsia="Google Sans" w:hAnsi="Google Sans"/>
          <w:sz w:val="28"/>
          <w:szCs w:val="28"/>
        </w:rPr>
      </w:pPr>
      <w:bookmarkStart w:colFirst="0" w:colLast="0" w:name="_yccpphjpi65" w:id="1"/>
      <w:bookmarkEnd w:id="1"/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Direct your students to: </w:t>
      </w: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sz w:val="20"/>
            <w:szCs w:val="20"/>
            <w:u w:val="single"/>
            <w:rtl w:val="0"/>
          </w:rPr>
          <w:t xml:space="preserve">https://www.tensorflow.org/get_started/</w:t>
        </w:r>
      </w:hyperlink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Both undergraduate and graduate students should focus on tf.keras and eager execution. As a more intuitive programming paradigm, Tf.keras is the recommended API for students.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cases involving very large data sets, students can take advantage of distributed training by converting a tf.keras model to an Estimator, as described in the tf.keras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guide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Google Sans" w:cs="Google Sans" w:eastAsia="Google Sans" w:hAnsi="Google Sans"/>
            <w:color w:val="6611cc"/>
            <w:sz w:val="20"/>
            <w:szCs w:val="20"/>
            <w:highlight w:val="white"/>
            <w:u w:val="single"/>
            <w:rtl w:val="0"/>
          </w:rPr>
          <w:t xml:space="preserve">https://www.tensorflow.org/programmers_guide/keras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For students, the best place to start is with the sequence of introductory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keras notebooks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on the getting started page. After that, have them try the eager notebooks on that same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rFonts w:ascii="Google Sans" w:cs="Google Sans" w:eastAsia="Google Sans" w:hAnsi="Google Sans"/>
          <w:sz w:val="28"/>
          <w:szCs w:val="28"/>
        </w:rPr>
      </w:pPr>
      <w:bookmarkStart w:colFirst="0" w:colLast="0" w:name="_8dibdk7j2l2v" w:id="2"/>
      <w:bookmarkEnd w:id="2"/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Assessi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g Student Learning</w:t>
      </w:r>
    </w:p>
    <w:p w:rsidR="00000000" w:rsidDel="00000000" w:rsidP="00000000" w:rsidRDefault="00000000" w:rsidRPr="00000000" w14:paraId="00000008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We recommend assigning project based homework. Minor TensorFlow API updates are released every couple of months, so we don't recommend focusing too heavily on testing syntax.</w:t>
      </w:r>
    </w:p>
    <w:p w:rsidR="00000000" w:rsidDel="00000000" w:rsidP="00000000" w:rsidRDefault="00000000" w:rsidRPr="00000000" w14:paraId="00000009">
      <w:pPr>
        <w:contextualSpacing w:val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Example assignments: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Undergrad students: train an image classifier on Imagenet, train a text classifier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Graduate students: write a translation based model: </w:t>
      </w: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sz w:val="20"/>
            <w:szCs w:val="20"/>
            <w:u w:val="single"/>
            <w:rtl w:val="0"/>
          </w:rPr>
          <w:t xml:space="preserve">https://twitter.com/TensorFlow/status/1009579409781772295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34a8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rtl w:val="0"/>
              </w:rPr>
              <w:t xml:space="preserve">Some fun ML interactions: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Google Sans" w:cs="Google Sans" w:eastAsia="Google Sans" w:hAnsi="Google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sz w:val="20"/>
                <w:szCs w:val="20"/>
                <w:rtl w:val="0"/>
              </w:rPr>
              <w:t xml:space="preserve">Games on js.tensorflow.org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Google Sans" w:cs="Google Sans" w:eastAsia="Google Sans" w:hAnsi="Google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sz w:val="20"/>
                <w:szCs w:val="20"/>
                <w:rtl w:val="0"/>
              </w:rPr>
              <w:t xml:space="preserve">magenta.tensorflow.org/demos - Sketch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Google Sans" w:cs="Google Sans" w:eastAsia="Google Sans" w:hAnsi="Google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sz w:val="20"/>
                <w:szCs w:val="20"/>
                <w:rtl w:val="0"/>
              </w:rPr>
              <w:t xml:space="preserve">medium.com/tensorflow posenet</w:t>
            </w:r>
          </w:p>
        </w:tc>
        <w:tc>
          <w:tcPr>
            <w:shd w:fill="34a8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rtl w:val="0"/>
              </w:rPr>
              <w:t xml:space="preserve">Keep in Mind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Google Sans" w:cs="Google Sans" w:eastAsia="Google Sans" w:hAnsi="Google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sz w:val="20"/>
                <w:szCs w:val="20"/>
                <w:rtl w:val="0"/>
              </w:rPr>
              <w:t xml:space="preserve">Deep Learning is a relatively new area, the best way to write code is still being discovered. To help stay up to date check out: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Google Sans" w:cs="Google Sans" w:eastAsia="Google Sans" w:hAnsi="Google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sz w:val="20"/>
                <w:szCs w:val="20"/>
                <w:rtl w:val="0"/>
              </w:rPr>
              <w:t xml:space="preserve">TF blog: medium.com/tensorflow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Google Sans" w:cs="Google Sans" w:eastAsia="Google Sans" w:hAnsi="Google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sz w:val="20"/>
                <w:szCs w:val="20"/>
                <w:rtl w:val="0"/>
              </w:rPr>
              <w:t xml:space="preserve">TF twitter: twitter.com/tensorflow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TF is not just Python: js.tensorflow.org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shd w:fill="34a8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rtl w:val="0"/>
              </w:rPr>
              <w:t xml:space="preserve">Additional Resources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Google Sans" w:cs="Google Sans" w:eastAsia="Google Sans" w:hAnsi="Google Sans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https://www.tensorflow.org/versions/r1.9/programmers_guide/keras</w:t>
              </w:r>
            </w:hyperlink>
            <w:r w:rsidDel="00000000" w:rsidR="00000000" w:rsidRPr="00000000">
              <w:rPr>
                <w:rFonts w:ascii="Google Sans" w:cs="Google Sans" w:eastAsia="Google Sans" w:hAnsi="Google Sans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Google Sans" w:cs="Google Sans" w:eastAsia="Google Sans" w:hAnsi="Google Sans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0"/>
                <w:szCs w:val="20"/>
                <w:rtl w:val="0"/>
              </w:rPr>
              <w:t xml:space="preserve">For the latest way of doing things: </w:t>
            </w:r>
            <w:hyperlink r:id="rId11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https://www.tensorflow.org/programmers_guide/eager</w:t>
              </w:r>
            </w:hyperlink>
            <w:r w:rsidDel="00000000" w:rsidR="00000000" w:rsidRPr="00000000">
              <w:rPr>
                <w:rFonts w:ascii="Google Sans" w:cs="Google Sans" w:eastAsia="Google Sans" w:hAnsi="Google Sans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Google Sans" w:cs="Google Sans" w:eastAsia="Google Sans" w:hAnsi="Google Sans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https://www.tensorflow.org/dev-summit/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contextualSpacing w:val="0"/>
              <w:rPr>
                <w:rFonts w:ascii="Google Sans" w:cs="Google Sans" w:eastAsia="Google Sans" w:hAnsi="Google Sans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0"/>
                <w:szCs w:val="20"/>
                <w:rtl w:val="0"/>
              </w:rPr>
              <w:t xml:space="preserve">Slides you may use or repurpose: </w:t>
            </w:r>
            <w:hyperlink r:id="rId13">
              <w:r w:rsidDel="00000000" w:rsidR="00000000" w:rsidRPr="00000000">
                <w:rPr>
                  <w:rFonts w:ascii="Google Sans" w:cs="Google Sans" w:eastAsia="Google Sans" w:hAnsi="Google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https://goo.gl/uF9A1A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nsorflow.org/programmers_guide/eager" TargetMode="External"/><Relationship Id="rId10" Type="http://schemas.openxmlformats.org/officeDocument/2006/relationships/hyperlink" Target="https://www.tensorflow.org/versions/r1.9/programmers_guide/keras" TargetMode="External"/><Relationship Id="rId13" Type="http://schemas.openxmlformats.org/officeDocument/2006/relationships/hyperlink" Target="https://goo.gl/uF9A1A" TargetMode="External"/><Relationship Id="rId12" Type="http://schemas.openxmlformats.org/officeDocument/2006/relationships/hyperlink" Target="https://www.tensorflow.org/dev-summ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ensorFlow/status/100957940978177229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tensorflow.org/get_started/" TargetMode="External"/><Relationship Id="rId8" Type="http://schemas.openxmlformats.org/officeDocument/2006/relationships/hyperlink" Target="https://www.tensorflow.org/programmers_guide/ker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