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D87AD4">
      <w:pPr>
        <w:pStyle w:val="2"/>
        <w:keepNext/>
        <w:spacing w:before="260" w:after="120"/>
        <w:rPr>
          <w:rFonts w:hint="default" w:ascii="Times New Roman" w:hAnsi="Times New Roman" w:eastAsia="Times New Roman" w:cs="Times New Roman"/>
          <w:b/>
          <w:bCs/>
          <w:i w:val="0"/>
          <w:iCs w:val="0"/>
          <w:color w:val="000000"/>
          <w:sz w:val="28"/>
          <w:szCs w:val="28"/>
          <w:lang w:val="en-US"/>
        </w:rPr>
      </w:pPr>
      <w:bookmarkStart w:id="0" w:name="_GoBack"/>
      <w:r>
        <w:rPr>
          <w:rFonts w:hint="default" w:cs="Times New Roman"/>
          <w:b/>
          <w:bCs/>
          <w:i w:val="0"/>
          <w:iCs w:val="0"/>
          <w:color w:val="000000"/>
          <w:sz w:val="28"/>
          <w:szCs w:val="28"/>
          <w:lang w:val="en-US"/>
        </w:rPr>
        <w:t>PCA Summary Report</w:t>
      </w:r>
    </w:p>
    <w:bookmarkEnd w:id="0"/>
    <w:p w14:paraId="1A51ADD7">
      <w:pPr>
        <w:pStyle w:val="2"/>
        <w:keepNext/>
        <w:spacing w:before="260" w:after="120"/>
        <w:rPr>
          <w:b w:val="0"/>
          <w:bCs w:val="0"/>
          <w:i w:val="0"/>
          <w:iCs w:val="0"/>
        </w:rPr>
      </w:pPr>
      <w:r>
        <w:rPr>
          <w:rFonts w:ascii="Times New Roman" w:hAnsi="Times New Roman" w:eastAsia="Times New Roman" w:cs="Times New Roman"/>
          <w:b w:val="0"/>
          <w:bCs w:val="0"/>
          <w:i w:val="0"/>
          <w:iCs w:val="0"/>
          <w:color w:val="000000"/>
          <w:sz w:val="28"/>
          <w:szCs w:val="28"/>
        </w:rPr>
        <w:t>1. Why we used PCA</w:t>
      </w:r>
    </w:p>
    <w:p w14:paraId="15FC3EED">
      <w:pPr>
        <w:spacing w:after="120" w:line="300" w:lineRule="auto"/>
        <w:jc w:val="both"/>
        <w:rPr>
          <w:b w:val="0"/>
          <w:bCs w:val="0"/>
          <w:i w:val="0"/>
          <w:iCs w:val="0"/>
        </w:rPr>
      </w:pPr>
      <w:r>
        <w:rPr>
          <w:rFonts w:ascii="Times New Roman" w:hAnsi="Times New Roman" w:eastAsia="Times New Roman" w:cs="Times New Roman"/>
          <w:b w:val="0"/>
          <w:bCs w:val="0"/>
          <w:i w:val="0"/>
          <w:iCs w:val="0"/>
          <w:sz w:val="24"/>
          <w:szCs w:val="24"/>
        </w:rPr>
        <w:t>We described each employee with 20 features. Many of them are related to each other, for example job level, income, total working years and years at company. PCA (Principal Component Analysis) combines such related features into fewer new features called components, and it keeps most of the information. We used the components as input for the clustering and also to plot the employee groups.</w:t>
      </w:r>
    </w:p>
    <w:p w14:paraId="2F8D2731">
      <w:pPr>
        <w:pStyle w:val="2"/>
        <w:keepNext/>
        <w:spacing w:before="260" w:after="120"/>
        <w:rPr>
          <w:b w:val="0"/>
          <w:bCs w:val="0"/>
          <w:i w:val="0"/>
          <w:iCs w:val="0"/>
        </w:rPr>
      </w:pPr>
      <w:r>
        <w:rPr>
          <w:rFonts w:ascii="Times New Roman" w:hAnsi="Times New Roman" w:eastAsia="Times New Roman" w:cs="Times New Roman"/>
          <w:b w:val="0"/>
          <w:bCs w:val="0"/>
          <w:i w:val="0"/>
          <w:iCs w:val="0"/>
          <w:color w:val="000000"/>
          <w:sz w:val="28"/>
          <w:szCs w:val="28"/>
        </w:rPr>
        <w:t>2. What we did</w:t>
      </w:r>
    </w:p>
    <w:p w14:paraId="33ECA40C">
      <w:pPr>
        <w:pStyle w:val="16"/>
        <w:numPr>
          <w:ilvl w:val="0"/>
          <w:numId w:val="1"/>
        </w:numPr>
        <w:spacing w:after="60" w:line="290" w:lineRule="auto"/>
        <w:rPr>
          <w:b w:val="0"/>
          <w:bCs w:val="0"/>
          <w:i w:val="0"/>
          <w:iCs w:val="0"/>
        </w:rPr>
      </w:pPr>
      <w:r>
        <w:rPr>
          <w:rFonts w:ascii="Times New Roman" w:hAnsi="Times New Roman" w:eastAsia="Times New Roman" w:cs="Times New Roman"/>
          <w:b w:val="0"/>
          <w:bCs w:val="0"/>
          <w:i w:val="0"/>
          <w:iCs w:val="0"/>
          <w:sz w:val="24"/>
          <w:szCs w:val="24"/>
        </w:rPr>
        <w:t>We created four new features: IncomeToLevel, TenureRatio, PromotionGap and SatisfactionIndex. The four satisfaction and work-life balance columns were merged into SatisfactionIndex.</w:t>
      </w:r>
    </w:p>
    <w:p w14:paraId="55C27515">
      <w:pPr>
        <w:pStyle w:val="16"/>
        <w:numPr>
          <w:ilvl w:val="0"/>
          <w:numId w:val="1"/>
        </w:numPr>
        <w:spacing w:after="60" w:line="290" w:lineRule="auto"/>
        <w:rPr>
          <w:b w:val="0"/>
          <w:bCs w:val="0"/>
          <w:i w:val="0"/>
          <w:iCs w:val="0"/>
        </w:rPr>
      </w:pPr>
      <w:r>
        <w:rPr>
          <w:rFonts w:ascii="Times New Roman" w:hAnsi="Times New Roman" w:eastAsia="Times New Roman" w:cs="Times New Roman"/>
          <w:b w:val="0"/>
          <w:bCs w:val="0"/>
          <w:i w:val="0"/>
          <w:iCs w:val="0"/>
          <w:sz w:val="24"/>
          <w:szCs w:val="24"/>
        </w:rPr>
        <w:t>We used 20 features in total. Attrition, PerformanceRating and PercentSalaryHike were not used.</w:t>
      </w:r>
    </w:p>
    <w:p w14:paraId="10FEF444">
      <w:pPr>
        <w:pStyle w:val="16"/>
        <w:numPr>
          <w:ilvl w:val="0"/>
          <w:numId w:val="1"/>
        </w:numPr>
        <w:spacing w:after="60" w:line="290" w:lineRule="auto"/>
        <w:rPr>
          <w:b w:val="0"/>
          <w:bCs w:val="0"/>
          <w:i w:val="0"/>
          <w:iCs w:val="0"/>
        </w:rPr>
      </w:pPr>
      <w:r>
        <w:rPr>
          <w:rFonts w:ascii="Times New Roman" w:hAnsi="Times New Roman" w:eastAsia="Times New Roman" w:cs="Times New Roman"/>
          <w:b w:val="0"/>
          <w:bCs w:val="0"/>
          <w:i w:val="0"/>
          <w:iCs w:val="0"/>
          <w:sz w:val="24"/>
          <w:szCs w:val="24"/>
        </w:rPr>
        <w:t>We scaled the features with StandardScaler.</w:t>
      </w:r>
    </w:p>
    <w:p w14:paraId="310D5462">
      <w:pPr>
        <w:pStyle w:val="16"/>
        <w:numPr>
          <w:ilvl w:val="0"/>
          <w:numId w:val="1"/>
        </w:numPr>
        <w:spacing w:after="60" w:line="290" w:lineRule="auto"/>
        <w:rPr>
          <w:b w:val="0"/>
          <w:bCs w:val="0"/>
          <w:i w:val="0"/>
          <w:iCs w:val="0"/>
        </w:rPr>
      </w:pPr>
      <w:r>
        <w:rPr>
          <w:rFonts w:ascii="Times New Roman" w:hAnsi="Times New Roman" w:eastAsia="Times New Roman" w:cs="Times New Roman"/>
          <w:b w:val="0"/>
          <w:bCs w:val="0"/>
          <w:i w:val="0"/>
          <w:iCs w:val="0"/>
          <w:sz w:val="24"/>
          <w:szCs w:val="24"/>
        </w:rPr>
        <w:t>We applied PCA and checked the explained variance of each component.</w:t>
      </w:r>
    </w:p>
    <w:p w14:paraId="3486223C">
      <w:pPr>
        <w:pStyle w:val="16"/>
        <w:numPr>
          <w:ilvl w:val="0"/>
          <w:numId w:val="1"/>
        </w:numPr>
        <w:spacing w:after="60" w:line="290" w:lineRule="auto"/>
        <w:rPr>
          <w:b w:val="0"/>
          <w:bCs w:val="0"/>
          <w:i w:val="0"/>
          <w:iCs w:val="0"/>
        </w:rPr>
      </w:pPr>
      <w:r>
        <w:rPr>
          <w:rFonts w:ascii="Times New Roman" w:hAnsi="Times New Roman" w:eastAsia="Times New Roman" w:cs="Times New Roman"/>
          <w:b w:val="0"/>
          <w:bCs w:val="0"/>
          <w:i w:val="0"/>
          <w:iCs w:val="0"/>
          <w:sz w:val="24"/>
          <w:szCs w:val="24"/>
        </w:rPr>
        <w:t>We kept the number of components needed for 90% of the variance and used them for K-Means and Hierarchical clustering.</w:t>
      </w:r>
    </w:p>
    <w:p w14:paraId="0A1DD368">
      <w:pPr>
        <w:pStyle w:val="2"/>
        <w:keepNext/>
        <w:spacing w:before="260" w:after="120"/>
        <w:rPr>
          <w:b w:val="0"/>
          <w:bCs w:val="0"/>
          <w:i w:val="0"/>
          <w:iCs w:val="0"/>
        </w:rPr>
      </w:pPr>
      <w:r>
        <w:rPr>
          <w:rFonts w:ascii="Times New Roman" w:hAnsi="Times New Roman" w:eastAsia="Times New Roman" w:cs="Times New Roman"/>
          <w:b w:val="0"/>
          <w:bCs w:val="0"/>
          <w:i w:val="0"/>
          <w:iCs w:val="0"/>
          <w:color w:val="000000"/>
          <w:sz w:val="28"/>
          <w:szCs w:val="28"/>
        </w:rPr>
        <w:t>3. How many components we kept</w:t>
      </w:r>
    </w:p>
    <w:p w14:paraId="094F2684">
      <w:pPr>
        <w:spacing w:after="120" w:line="300" w:lineRule="auto"/>
        <w:jc w:val="both"/>
        <w:rPr>
          <w:b w:val="0"/>
          <w:bCs w:val="0"/>
          <w:i w:val="0"/>
          <w:iCs w:val="0"/>
        </w:rPr>
      </w:pPr>
      <w:r>
        <w:rPr>
          <w:rFonts w:ascii="Times New Roman" w:hAnsi="Times New Roman" w:eastAsia="Times New Roman" w:cs="Times New Roman"/>
          <w:b w:val="0"/>
          <w:bCs w:val="0"/>
          <w:i w:val="0"/>
          <w:iCs w:val="0"/>
          <w:sz w:val="24"/>
          <w:szCs w:val="24"/>
        </w:rPr>
        <w:t>Ten components explain at least 80% of the variance and 13 components explain 90%. We kept 13 components, which explain 92.7% of the variance. So we reduced 20 features to 13 and lost about 7% of the information.</w:t>
      </w:r>
    </w:p>
    <w:p w14:paraId="40233FE8">
      <w:pPr>
        <w:spacing w:before="120"/>
        <w:jc w:val="center"/>
        <w:rPr>
          <w:b w:val="0"/>
          <w:bCs w:val="0"/>
          <w:i w:val="0"/>
          <w:iCs w:val="0"/>
        </w:rPr>
      </w:pPr>
      <w:r>
        <w:rPr>
          <w:b w:val="0"/>
          <w:bCs w:val="0"/>
          <w:i w:val="0"/>
          <w:iCs w:val="0"/>
        </w:rPr>
        <w:drawing>
          <wp:inline distT="0" distB="0" distL="0" distR="0">
            <wp:extent cx="5667375" cy="1743075"/>
            <wp:effectExtent l="0" t="0" r="0" b="0"/>
            <wp:docPr id="1" name="Figure 1: Variance explained per component and cumulative variance" descr="Figure 1: Variance explained per component and cumulative variance" title="Figure 1: Variance explained per component and cumulative vari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Variance explained per component and cumulative variance" descr="Figure 1: Variance explained per component and cumulative variance" title="Figure 1: Variance explained per component and cumulative variance"/>
                    <pic:cNvPicPr>
                      <a:picLocks noChangeAspect="1" noChangeArrowheads="1"/>
                    </pic:cNvPicPr>
                  </pic:nvPicPr>
                  <pic:blipFill>
                    <a:blip r:embed="rId5"/>
                    <a:srcRect/>
                    <a:stretch>
                      <a:fillRect/>
                    </a:stretch>
                  </pic:blipFill>
                  <pic:spPr>
                    <a:xfrm>
                      <a:off x="0" y="0"/>
                      <a:ext cx="5667375" cy="1743075"/>
                    </a:xfrm>
                    <a:prstGeom prst="rect">
                      <a:avLst/>
                    </a:prstGeom>
                  </pic:spPr>
                </pic:pic>
              </a:graphicData>
            </a:graphic>
          </wp:inline>
        </w:drawing>
      </w:r>
    </w:p>
    <w:p w14:paraId="51A0BF3F">
      <w:pPr>
        <w:spacing w:before="60" w:after="200"/>
        <w:jc w:val="center"/>
        <w:rPr>
          <w:b w:val="0"/>
          <w:bCs w:val="0"/>
          <w:i w:val="0"/>
          <w:iCs w:val="0"/>
        </w:rPr>
      </w:pPr>
      <w:r>
        <w:rPr>
          <w:rFonts w:ascii="Times New Roman" w:hAnsi="Times New Roman" w:eastAsia="Times New Roman" w:cs="Times New Roman"/>
          <w:b w:val="0"/>
          <w:bCs w:val="0"/>
          <w:i w:val="0"/>
          <w:iCs w:val="0"/>
          <w:sz w:val="21"/>
          <w:szCs w:val="21"/>
        </w:rPr>
        <w:t>Figure 1: Variance explained per component and cumulative variance</w:t>
      </w:r>
    </w:p>
    <w:p w14:paraId="767A3D94">
      <w:pPr>
        <w:pStyle w:val="2"/>
        <w:keepNext/>
        <w:spacing w:before="260" w:after="120"/>
        <w:rPr>
          <w:b w:val="0"/>
          <w:bCs w:val="0"/>
          <w:i w:val="0"/>
          <w:iCs w:val="0"/>
        </w:rPr>
      </w:pPr>
      <w:r>
        <w:rPr>
          <w:rFonts w:ascii="Times New Roman" w:hAnsi="Times New Roman" w:eastAsia="Times New Roman" w:cs="Times New Roman"/>
          <w:b w:val="0"/>
          <w:bCs w:val="0"/>
          <w:i w:val="0"/>
          <w:iCs w:val="0"/>
          <w:color w:val="000000"/>
          <w:sz w:val="28"/>
          <w:szCs w:val="28"/>
        </w:rPr>
        <w:t>4. What the first three components mean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1100"/>
        <w:gridCol w:w="6626"/>
      </w:tblGrid>
      <w:tr w14:paraId="0962C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dxa"/>
            <w:tcBorders>
              <w:top w:val="single" w:color="999999" w:sz="4" w:space="0"/>
              <w:left w:val="single" w:color="999999" w:sz="4" w:space="0"/>
              <w:bottom w:val="single" w:color="999999" w:sz="4" w:space="0"/>
              <w:right w:val="single" w:color="999999" w:sz="4" w:space="0"/>
            </w:tcBorders>
            <w:shd w:val="clear" w:color="auto" w:fill="auto"/>
            <w:tcMar>
              <w:top w:w="50" w:type="dxa"/>
              <w:left w:w="80" w:type="dxa"/>
              <w:bottom w:w="50" w:type="dxa"/>
              <w:right w:w="80" w:type="dxa"/>
            </w:tcMar>
          </w:tcPr>
          <w:p w14:paraId="413CB3A7">
            <w:pPr>
              <w:jc w:val="left"/>
              <w:rPr>
                <w:b w:val="0"/>
                <w:bCs w:val="0"/>
                <w:i w:val="0"/>
                <w:iCs w:val="0"/>
              </w:rPr>
            </w:pPr>
            <w:r>
              <w:rPr>
                <w:rFonts w:ascii="Times New Roman" w:hAnsi="Times New Roman" w:eastAsia="Times New Roman" w:cs="Times New Roman"/>
                <w:b w:val="0"/>
                <w:bCs w:val="0"/>
                <w:i w:val="0"/>
                <w:iCs w:val="0"/>
                <w:sz w:val="20"/>
                <w:szCs w:val="20"/>
              </w:rPr>
              <w:t>Component</w:t>
            </w:r>
          </w:p>
        </w:tc>
        <w:tc>
          <w:tcPr>
            <w:tcW w:w="1100" w:type="dxa"/>
            <w:tcBorders>
              <w:top w:val="single" w:color="999999" w:sz="4" w:space="0"/>
              <w:left w:val="single" w:color="999999" w:sz="4" w:space="0"/>
              <w:bottom w:val="single" w:color="999999" w:sz="4" w:space="0"/>
              <w:right w:val="single" w:color="999999" w:sz="4" w:space="0"/>
            </w:tcBorders>
            <w:shd w:val="clear" w:color="auto" w:fill="auto"/>
            <w:tcMar>
              <w:top w:w="50" w:type="dxa"/>
              <w:left w:w="80" w:type="dxa"/>
              <w:bottom w:w="50" w:type="dxa"/>
              <w:right w:w="80" w:type="dxa"/>
            </w:tcMar>
          </w:tcPr>
          <w:p w14:paraId="084E60F5">
            <w:pPr>
              <w:jc w:val="center"/>
              <w:rPr>
                <w:b w:val="0"/>
                <w:bCs w:val="0"/>
                <w:i w:val="0"/>
                <w:iCs w:val="0"/>
              </w:rPr>
            </w:pPr>
            <w:r>
              <w:rPr>
                <w:rFonts w:ascii="Times New Roman" w:hAnsi="Times New Roman" w:eastAsia="Times New Roman" w:cs="Times New Roman"/>
                <w:b w:val="0"/>
                <w:bCs w:val="0"/>
                <w:i w:val="0"/>
                <w:iCs w:val="0"/>
                <w:sz w:val="20"/>
                <w:szCs w:val="20"/>
              </w:rPr>
              <w:t>Variance</w:t>
            </w:r>
          </w:p>
        </w:tc>
        <w:tc>
          <w:tcPr>
            <w:tcW w:w="6626" w:type="dxa"/>
            <w:tcBorders>
              <w:top w:val="single" w:color="999999" w:sz="4" w:space="0"/>
              <w:left w:val="single" w:color="999999" w:sz="4" w:space="0"/>
              <w:bottom w:val="single" w:color="999999" w:sz="4" w:space="0"/>
              <w:right w:val="single" w:color="999999" w:sz="4" w:space="0"/>
            </w:tcBorders>
            <w:shd w:val="clear" w:color="auto" w:fill="auto"/>
            <w:tcMar>
              <w:top w:w="50" w:type="dxa"/>
              <w:left w:w="80" w:type="dxa"/>
              <w:bottom w:w="50" w:type="dxa"/>
              <w:right w:w="80" w:type="dxa"/>
            </w:tcMar>
          </w:tcPr>
          <w:p w14:paraId="28DA725F">
            <w:pPr>
              <w:jc w:val="center"/>
              <w:rPr>
                <w:b w:val="0"/>
                <w:bCs w:val="0"/>
                <w:i w:val="0"/>
                <w:iCs w:val="0"/>
              </w:rPr>
            </w:pPr>
            <w:r>
              <w:rPr>
                <w:rFonts w:ascii="Times New Roman" w:hAnsi="Times New Roman" w:eastAsia="Times New Roman" w:cs="Times New Roman"/>
                <w:b w:val="0"/>
                <w:bCs w:val="0"/>
                <w:i w:val="0"/>
                <w:iCs w:val="0"/>
                <w:sz w:val="20"/>
                <w:szCs w:val="20"/>
              </w:rPr>
              <w:t>Features with the highest loadings</w:t>
            </w:r>
          </w:p>
        </w:tc>
      </w:tr>
      <w:tr w14:paraId="1EAF8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6E1EC1D6">
            <w:pPr>
              <w:jc w:val="left"/>
              <w:rPr>
                <w:b w:val="0"/>
                <w:bCs w:val="0"/>
                <w:i w:val="0"/>
                <w:iCs w:val="0"/>
              </w:rPr>
            </w:pPr>
            <w:r>
              <w:rPr>
                <w:rFonts w:ascii="Times New Roman" w:hAnsi="Times New Roman" w:eastAsia="Times New Roman" w:cs="Times New Roman"/>
                <w:b w:val="0"/>
                <w:bCs w:val="0"/>
                <w:i w:val="0"/>
                <w:iCs w:val="0"/>
                <w:sz w:val="20"/>
                <w:szCs w:val="20"/>
              </w:rPr>
              <w:t>PC1</w:t>
            </w:r>
          </w:p>
        </w:tc>
        <w:tc>
          <w:tcPr>
            <w:tcW w:w="11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BED0282">
            <w:pPr>
              <w:jc w:val="center"/>
              <w:rPr>
                <w:b w:val="0"/>
                <w:bCs w:val="0"/>
                <w:i w:val="0"/>
                <w:iCs w:val="0"/>
              </w:rPr>
            </w:pPr>
            <w:r>
              <w:rPr>
                <w:rFonts w:ascii="Times New Roman" w:hAnsi="Times New Roman" w:eastAsia="Times New Roman" w:cs="Times New Roman"/>
                <w:b w:val="0"/>
                <w:bCs w:val="0"/>
                <w:i w:val="0"/>
                <w:iCs w:val="0"/>
                <w:sz w:val="20"/>
                <w:szCs w:val="20"/>
              </w:rPr>
              <w:t>25.5%</w:t>
            </w:r>
          </w:p>
        </w:tc>
        <w:tc>
          <w:tcPr>
            <w:tcW w:w="6626" w:type="dxa"/>
            <w:tcBorders>
              <w:top w:val="single" w:color="999999" w:sz="4" w:space="0"/>
              <w:left w:val="single" w:color="999999" w:sz="4" w:space="0"/>
              <w:bottom w:val="single" w:color="999999" w:sz="4" w:space="0"/>
              <w:right w:val="single" w:color="999999" w:sz="4" w:space="0"/>
            </w:tcBorders>
            <w:shd w:val="clear" w:color="auto" w:fill="auto"/>
            <w:tcMar>
              <w:top w:w="50" w:type="dxa"/>
              <w:left w:w="80" w:type="dxa"/>
              <w:bottom w:w="50" w:type="dxa"/>
              <w:right w:w="80" w:type="dxa"/>
            </w:tcMar>
          </w:tcPr>
          <w:p w14:paraId="587C8112">
            <w:pPr>
              <w:jc w:val="center"/>
              <w:rPr>
                <w:b w:val="0"/>
                <w:bCs w:val="0"/>
                <w:i w:val="0"/>
                <w:iCs w:val="0"/>
              </w:rPr>
            </w:pPr>
            <w:r>
              <w:rPr>
                <w:rFonts w:ascii="Times New Roman" w:hAnsi="Times New Roman" w:eastAsia="Times New Roman" w:cs="Times New Roman"/>
                <w:b w:val="0"/>
                <w:bCs w:val="0"/>
                <w:i w:val="0"/>
                <w:iCs w:val="0"/>
                <w:sz w:val="20"/>
                <w:szCs w:val="20"/>
              </w:rPr>
              <w:t>YearsAtCompany (0.38), TotalWorkingYears (0.36), MonthlyIncome (0.35), JobLevel (0.35)</w:t>
            </w:r>
          </w:p>
        </w:tc>
      </w:tr>
      <w:tr w14:paraId="66215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2B784FDD">
            <w:pPr>
              <w:jc w:val="left"/>
              <w:rPr>
                <w:b w:val="0"/>
                <w:bCs w:val="0"/>
                <w:i w:val="0"/>
                <w:iCs w:val="0"/>
              </w:rPr>
            </w:pPr>
            <w:r>
              <w:rPr>
                <w:rFonts w:ascii="Times New Roman" w:hAnsi="Times New Roman" w:eastAsia="Times New Roman" w:cs="Times New Roman"/>
                <w:b w:val="0"/>
                <w:bCs w:val="0"/>
                <w:i w:val="0"/>
                <w:iCs w:val="0"/>
                <w:sz w:val="20"/>
                <w:szCs w:val="20"/>
              </w:rPr>
              <w:t>PC2</w:t>
            </w:r>
          </w:p>
        </w:tc>
        <w:tc>
          <w:tcPr>
            <w:tcW w:w="11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5F1B2CD4">
            <w:pPr>
              <w:jc w:val="center"/>
              <w:rPr>
                <w:b w:val="0"/>
                <w:bCs w:val="0"/>
                <w:i w:val="0"/>
                <w:iCs w:val="0"/>
              </w:rPr>
            </w:pPr>
            <w:r>
              <w:rPr>
                <w:rFonts w:ascii="Times New Roman" w:hAnsi="Times New Roman" w:eastAsia="Times New Roman" w:cs="Times New Roman"/>
                <w:b w:val="0"/>
                <w:bCs w:val="0"/>
                <w:i w:val="0"/>
                <w:iCs w:val="0"/>
                <w:sz w:val="20"/>
                <w:szCs w:val="20"/>
              </w:rPr>
              <w:t>12.9%</w:t>
            </w:r>
          </w:p>
        </w:tc>
        <w:tc>
          <w:tcPr>
            <w:tcW w:w="662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7FF8D6D9">
            <w:pPr>
              <w:jc w:val="center"/>
              <w:rPr>
                <w:b w:val="0"/>
                <w:bCs w:val="0"/>
                <w:i w:val="0"/>
                <w:iCs w:val="0"/>
              </w:rPr>
            </w:pPr>
            <w:r>
              <w:rPr>
                <w:rFonts w:ascii="Times New Roman" w:hAnsi="Times New Roman" w:eastAsia="Times New Roman" w:cs="Times New Roman"/>
                <w:b w:val="0"/>
                <w:bCs w:val="0"/>
                <w:i w:val="0"/>
                <w:iCs w:val="0"/>
                <w:sz w:val="20"/>
                <w:szCs w:val="20"/>
              </w:rPr>
              <w:t>TenureRatio (0.51), NumCompaniesWorked (−0.38), Age (−0.33), MonthlyIncome (−0.27)</w:t>
            </w:r>
          </w:p>
        </w:tc>
      </w:tr>
      <w:tr w14:paraId="1F860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099E583">
            <w:pPr>
              <w:jc w:val="left"/>
              <w:rPr>
                <w:b w:val="0"/>
                <w:bCs w:val="0"/>
                <w:i w:val="0"/>
                <w:iCs w:val="0"/>
              </w:rPr>
            </w:pPr>
            <w:r>
              <w:rPr>
                <w:rFonts w:ascii="Times New Roman" w:hAnsi="Times New Roman" w:eastAsia="Times New Roman" w:cs="Times New Roman"/>
                <w:b w:val="0"/>
                <w:bCs w:val="0"/>
                <w:i w:val="0"/>
                <w:iCs w:val="0"/>
                <w:sz w:val="20"/>
                <w:szCs w:val="20"/>
              </w:rPr>
              <w:t>PC3</w:t>
            </w:r>
          </w:p>
        </w:tc>
        <w:tc>
          <w:tcPr>
            <w:tcW w:w="1100"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01AC17DF">
            <w:pPr>
              <w:jc w:val="center"/>
              <w:rPr>
                <w:b w:val="0"/>
                <w:bCs w:val="0"/>
                <w:i w:val="0"/>
                <w:iCs w:val="0"/>
              </w:rPr>
            </w:pPr>
            <w:r>
              <w:rPr>
                <w:rFonts w:ascii="Times New Roman" w:hAnsi="Times New Roman" w:eastAsia="Times New Roman" w:cs="Times New Roman"/>
                <w:b w:val="0"/>
                <w:bCs w:val="0"/>
                <w:i w:val="0"/>
                <w:iCs w:val="0"/>
                <w:sz w:val="20"/>
                <w:szCs w:val="20"/>
              </w:rPr>
              <w:t>6.6%</w:t>
            </w:r>
          </w:p>
        </w:tc>
        <w:tc>
          <w:tcPr>
            <w:tcW w:w="6626" w:type="dxa"/>
            <w:tcBorders>
              <w:top w:val="single" w:color="999999" w:sz="4" w:space="0"/>
              <w:left w:val="single" w:color="999999" w:sz="4" w:space="0"/>
              <w:bottom w:val="single" w:color="999999" w:sz="4" w:space="0"/>
              <w:right w:val="single" w:color="999999" w:sz="4" w:space="0"/>
            </w:tcBorders>
            <w:tcMar>
              <w:top w:w="50" w:type="dxa"/>
              <w:left w:w="80" w:type="dxa"/>
              <w:bottom w:w="50" w:type="dxa"/>
              <w:right w:w="80" w:type="dxa"/>
            </w:tcMar>
          </w:tcPr>
          <w:p w14:paraId="427E08BA">
            <w:pPr>
              <w:jc w:val="center"/>
              <w:rPr>
                <w:b w:val="0"/>
                <w:bCs w:val="0"/>
                <w:i w:val="0"/>
                <w:iCs w:val="0"/>
              </w:rPr>
            </w:pPr>
            <w:r>
              <w:rPr>
                <w:rFonts w:ascii="Times New Roman" w:hAnsi="Times New Roman" w:eastAsia="Times New Roman" w:cs="Times New Roman"/>
                <w:b w:val="0"/>
                <w:bCs w:val="0"/>
                <w:i w:val="0"/>
                <w:iCs w:val="0"/>
                <w:sz w:val="20"/>
                <w:szCs w:val="20"/>
              </w:rPr>
              <w:t>PromotionGap (0.72), YearsSinceLastPromotion (0.47), NumCompaniesWorked (0.28), TenureRatio (−0.20)</w:t>
            </w:r>
          </w:p>
        </w:tc>
      </w:tr>
    </w:tbl>
    <w:p w14:paraId="7AD5CF11">
      <w:pPr>
        <w:spacing w:after="80"/>
        <w:rPr>
          <w:b w:val="0"/>
          <w:bCs w:val="0"/>
          <w:i w:val="0"/>
          <w:iCs w:val="0"/>
        </w:rPr>
      </w:pPr>
    </w:p>
    <w:p w14:paraId="34EF7163">
      <w:pPr>
        <w:pStyle w:val="16"/>
        <w:numPr>
          <w:ilvl w:val="0"/>
          <w:numId w:val="2"/>
        </w:numPr>
        <w:spacing w:after="60" w:line="290" w:lineRule="auto"/>
        <w:rPr>
          <w:b w:val="0"/>
          <w:bCs w:val="0"/>
          <w:i w:val="0"/>
          <w:iCs w:val="0"/>
        </w:rPr>
      </w:pPr>
      <w:r>
        <w:rPr>
          <w:rFonts w:ascii="Times New Roman" w:hAnsi="Times New Roman" w:eastAsia="Times New Roman" w:cs="Times New Roman"/>
          <w:b w:val="0"/>
          <w:bCs w:val="0"/>
          <w:i w:val="0"/>
          <w:iCs w:val="0"/>
          <w:sz w:val="24"/>
          <w:szCs w:val="24"/>
        </w:rPr>
        <w:t>PC1 is about experience and seniority: a high PC1 means a long career, a high job level and a high income.</w:t>
      </w:r>
    </w:p>
    <w:p w14:paraId="069AEFAC">
      <w:pPr>
        <w:pStyle w:val="16"/>
        <w:numPr>
          <w:ilvl w:val="0"/>
          <w:numId w:val="2"/>
        </w:numPr>
        <w:spacing w:after="60" w:line="290" w:lineRule="auto"/>
        <w:rPr>
          <w:b w:val="0"/>
          <w:bCs w:val="0"/>
          <w:i w:val="0"/>
          <w:iCs w:val="0"/>
        </w:rPr>
      </w:pPr>
      <w:r>
        <w:rPr>
          <w:rFonts w:ascii="Times New Roman" w:hAnsi="Times New Roman" w:eastAsia="Times New Roman" w:cs="Times New Roman"/>
          <w:b w:val="0"/>
          <w:bCs w:val="0"/>
          <w:i w:val="0"/>
          <w:iCs w:val="0"/>
          <w:sz w:val="24"/>
          <w:szCs w:val="24"/>
        </w:rPr>
        <w:t>PC2 separates employees who spent most of their career in this company (high TenureRatio) from older employees who worked in many companies and who joined recently.</w:t>
      </w:r>
    </w:p>
    <w:p w14:paraId="1529A431">
      <w:pPr>
        <w:pStyle w:val="16"/>
        <w:numPr>
          <w:ilvl w:val="0"/>
          <w:numId w:val="2"/>
        </w:numPr>
        <w:spacing w:after="60" w:line="290" w:lineRule="auto"/>
        <w:rPr>
          <w:b w:val="0"/>
          <w:bCs w:val="0"/>
          <w:i w:val="0"/>
          <w:iCs w:val="0"/>
        </w:rPr>
      </w:pPr>
      <w:r>
        <w:rPr>
          <w:rFonts w:ascii="Times New Roman" w:hAnsi="Times New Roman" w:eastAsia="Times New Roman" w:cs="Times New Roman"/>
          <w:b w:val="0"/>
          <w:bCs w:val="0"/>
          <w:i w:val="0"/>
          <w:iCs w:val="0"/>
          <w:sz w:val="24"/>
          <w:szCs w:val="24"/>
        </w:rPr>
        <w:t>PC3 is about promotion. It is high for employees who have waited a long time since their last promotion.</w:t>
      </w:r>
    </w:p>
    <w:p w14:paraId="6B1905D1">
      <w:pPr>
        <w:spacing w:after="120" w:line="300" w:lineRule="auto"/>
        <w:jc w:val="both"/>
        <w:rPr>
          <w:b w:val="0"/>
          <w:bCs w:val="0"/>
          <w:i w:val="0"/>
          <w:iCs w:val="0"/>
        </w:rPr>
      </w:pPr>
      <w:r>
        <w:rPr>
          <w:rFonts w:ascii="Times New Roman" w:hAnsi="Times New Roman" w:eastAsia="Times New Roman" w:cs="Times New Roman"/>
          <w:b w:val="0"/>
          <w:bCs w:val="0"/>
          <w:i w:val="0"/>
          <w:iCs w:val="0"/>
          <w:sz w:val="24"/>
          <w:szCs w:val="24"/>
        </w:rPr>
        <w:t>The new features we created are among the highest loadings (TenureRatio on PC2 and PromotionGap on PC3), which shows that they brought new information that the original columns did not have.</w:t>
      </w:r>
    </w:p>
    <w:p w14:paraId="218893C3">
      <w:pPr>
        <w:spacing w:before="120"/>
        <w:jc w:val="center"/>
        <w:rPr>
          <w:b w:val="0"/>
          <w:bCs w:val="0"/>
          <w:i w:val="0"/>
          <w:iCs w:val="0"/>
        </w:rPr>
      </w:pPr>
      <w:r>
        <w:rPr>
          <w:b w:val="0"/>
          <w:bCs w:val="0"/>
          <w:i w:val="0"/>
          <w:iCs w:val="0"/>
        </w:rPr>
        <w:drawing>
          <wp:inline distT="0" distB="0" distL="0" distR="0">
            <wp:extent cx="3476625" cy="4057650"/>
            <wp:effectExtent l="0" t="0" r="0" b="0"/>
            <wp:docPr id="2" name="Figure 2: Loadings of the first three components" descr="Figure 2: Loadings of the first three components" title="Figure 2: Loadings of the first three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Loadings of the first three components" descr="Figure 2: Loadings of the first three components" title="Figure 2: Loadings of the first three components"/>
                    <pic:cNvPicPr>
                      <a:picLocks noChangeAspect="1" noChangeArrowheads="1"/>
                    </pic:cNvPicPr>
                  </pic:nvPicPr>
                  <pic:blipFill>
                    <a:blip r:embed="rId6"/>
                    <a:srcRect/>
                    <a:stretch>
                      <a:fillRect/>
                    </a:stretch>
                  </pic:blipFill>
                  <pic:spPr>
                    <a:xfrm>
                      <a:off x="0" y="0"/>
                      <a:ext cx="3476625" cy="4057650"/>
                    </a:xfrm>
                    <a:prstGeom prst="rect">
                      <a:avLst/>
                    </a:prstGeom>
                  </pic:spPr>
                </pic:pic>
              </a:graphicData>
            </a:graphic>
          </wp:inline>
        </w:drawing>
      </w:r>
    </w:p>
    <w:p w14:paraId="5096A2D2">
      <w:pPr>
        <w:spacing w:before="60" w:after="200"/>
        <w:jc w:val="center"/>
        <w:rPr>
          <w:b w:val="0"/>
          <w:bCs w:val="0"/>
          <w:i w:val="0"/>
          <w:iCs w:val="0"/>
        </w:rPr>
      </w:pPr>
      <w:r>
        <w:rPr>
          <w:rFonts w:ascii="Times New Roman" w:hAnsi="Times New Roman" w:eastAsia="Times New Roman" w:cs="Times New Roman"/>
          <w:b w:val="0"/>
          <w:bCs w:val="0"/>
          <w:i w:val="0"/>
          <w:iCs w:val="0"/>
          <w:sz w:val="21"/>
          <w:szCs w:val="21"/>
        </w:rPr>
        <w:t>Figure 2: Loadings of the first three components</w:t>
      </w:r>
    </w:p>
    <w:p w14:paraId="2B8D4CF9">
      <w:pPr>
        <w:pStyle w:val="2"/>
        <w:keepNext/>
        <w:spacing w:before="260" w:after="120"/>
        <w:rPr>
          <w:b w:val="0"/>
          <w:bCs w:val="0"/>
          <w:i w:val="0"/>
          <w:iCs w:val="0"/>
        </w:rPr>
      </w:pPr>
      <w:r>
        <w:rPr>
          <w:rFonts w:ascii="Times New Roman" w:hAnsi="Times New Roman" w:eastAsia="Times New Roman" w:cs="Times New Roman"/>
          <w:b w:val="0"/>
          <w:bCs w:val="0"/>
          <w:i w:val="0"/>
          <w:iCs w:val="0"/>
          <w:color w:val="000000"/>
          <w:sz w:val="28"/>
          <w:szCs w:val="28"/>
        </w:rPr>
        <w:t>5. Using PCA to see the employee groups</w:t>
      </w:r>
    </w:p>
    <w:p w14:paraId="2F2DE4B3">
      <w:pPr>
        <w:spacing w:after="120" w:line="300" w:lineRule="auto"/>
        <w:jc w:val="both"/>
        <w:rPr>
          <w:b w:val="0"/>
          <w:bCs w:val="0"/>
          <w:i w:val="0"/>
          <w:iCs w:val="0"/>
        </w:rPr>
      </w:pPr>
      <w:r>
        <w:rPr>
          <w:rFonts w:ascii="Times New Roman" w:hAnsi="Times New Roman" w:eastAsia="Times New Roman" w:cs="Times New Roman"/>
          <w:b w:val="0"/>
          <w:bCs w:val="0"/>
          <w:i w:val="0"/>
          <w:iCs w:val="0"/>
          <w:sz w:val="24"/>
          <w:szCs w:val="24"/>
        </w:rPr>
        <w:t>We plotted the employees on PC1 and PC2 and coloured them by K-Means segment. The four segments are shown in different parts of the plot, with some overlap at the borders. This matches the low silhouette score of the clustering (about 0.12).</w:t>
      </w:r>
    </w:p>
    <w:p w14:paraId="26A59933">
      <w:pPr>
        <w:spacing w:before="120"/>
        <w:jc w:val="center"/>
        <w:rPr>
          <w:b w:val="0"/>
          <w:bCs w:val="0"/>
          <w:i w:val="0"/>
          <w:iCs w:val="0"/>
        </w:rPr>
      </w:pPr>
      <w:r>
        <w:rPr>
          <w:b w:val="0"/>
          <w:bCs w:val="0"/>
          <w:i w:val="0"/>
          <w:iCs w:val="0"/>
        </w:rPr>
        <w:drawing>
          <wp:inline distT="0" distB="0" distL="0" distR="0">
            <wp:extent cx="5848350" cy="1695450"/>
            <wp:effectExtent l="0" t="0" r="0" b="0"/>
            <wp:docPr id="3" name="Figure 3: Employees on the first two principal components" descr="Figure 3: Employees on the first two principal components" title="Figure 3: Employees on the first two principal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Employees on the first two principal components" descr="Figure 3: Employees on the first two principal components" title="Figure 3: Employees on the first two principal components"/>
                    <pic:cNvPicPr>
                      <a:picLocks noChangeAspect="1" noChangeArrowheads="1"/>
                    </pic:cNvPicPr>
                  </pic:nvPicPr>
                  <pic:blipFill>
                    <a:blip r:embed="rId7"/>
                    <a:srcRect/>
                    <a:stretch>
                      <a:fillRect/>
                    </a:stretch>
                  </pic:blipFill>
                  <pic:spPr>
                    <a:xfrm>
                      <a:off x="0" y="0"/>
                      <a:ext cx="5848350" cy="1695450"/>
                    </a:xfrm>
                    <a:prstGeom prst="rect">
                      <a:avLst/>
                    </a:prstGeom>
                  </pic:spPr>
                </pic:pic>
              </a:graphicData>
            </a:graphic>
          </wp:inline>
        </w:drawing>
      </w:r>
    </w:p>
    <w:p w14:paraId="037038B7">
      <w:pPr>
        <w:spacing w:before="60" w:after="200"/>
        <w:jc w:val="center"/>
        <w:rPr>
          <w:b w:val="0"/>
          <w:bCs w:val="0"/>
          <w:i w:val="0"/>
          <w:iCs w:val="0"/>
        </w:rPr>
      </w:pPr>
      <w:r>
        <w:rPr>
          <w:rFonts w:ascii="Times New Roman" w:hAnsi="Times New Roman" w:eastAsia="Times New Roman" w:cs="Times New Roman"/>
          <w:b w:val="0"/>
          <w:bCs w:val="0"/>
          <w:i w:val="0"/>
          <w:iCs w:val="0"/>
          <w:sz w:val="21"/>
          <w:szCs w:val="21"/>
        </w:rPr>
        <w:t>Figure 3: Employees on the first two principal components</w:t>
      </w:r>
    </w:p>
    <w:p w14:paraId="0ECB8D0C">
      <w:pPr>
        <w:pStyle w:val="2"/>
        <w:keepNext/>
        <w:spacing w:before="260" w:after="120"/>
        <w:rPr>
          <w:b w:val="0"/>
          <w:bCs w:val="0"/>
          <w:i w:val="0"/>
          <w:iCs w:val="0"/>
        </w:rPr>
      </w:pPr>
      <w:r>
        <w:rPr>
          <w:rFonts w:ascii="Times New Roman" w:hAnsi="Times New Roman" w:eastAsia="Times New Roman" w:cs="Times New Roman"/>
          <w:b w:val="0"/>
          <w:bCs w:val="0"/>
          <w:i w:val="0"/>
          <w:iCs w:val="0"/>
          <w:color w:val="000000"/>
          <w:sz w:val="28"/>
          <w:szCs w:val="28"/>
        </w:rPr>
        <w:t>6. Limitations</w:t>
      </w:r>
    </w:p>
    <w:p w14:paraId="75955F4B">
      <w:pPr>
        <w:pStyle w:val="16"/>
        <w:numPr>
          <w:ilvl w:val="0"/>
          <w:numId w:val="2"/>
        </w:numPr>
        <w:spacing w:after="60" w:line="290" w:lineRule="auto"/>
        <w:rPr>
          <w:b w:val="0"/>
          <w:bCs w:val="0"/>
          <w:i w:val="0"/>
          <w:iCs w:val="0"/>
        </w:rPr>
      </w:pPr>
      <w:r>
        <w:rPr>
          <w:rFonts w:ascii="Times New Roman" w:hAnsi="Times New Roman" w:eastAsia="Times New Roman" w:cs="Times New Roman"/>
          <w:b w:val="0"/>
          <w:bCs w:val="0"/>
          <w:i w:val="0"/>
          <w:iCs w:val="0"/>
          <w:sz w:val="24"/>
          <w:szCs w:val="24"/>
        </w:rPr>
        <w:t>The components are mixtures of features, so they are harder to explain than the original columns.</w:t>
      </w:r>
    </w:p>
    <w:p w14:paraId="7CA5C231">
      <w:pPr>
        <w:pStyle w:val="16"/>
        <w:numPr>
          <w:ilvl w:val="0"/>
          <w:numId w:val="2"/>
        </w:numPr>
        <w:spacing w:after="60" w:line="290" w:lineRule="auto"/>
        <w:rPr>
          <w:b w:val="0"/>
          <w:bCs w:val="0"/>
          <w:i w:val="0"/>
          <w:iCs w:val="0"/>
        </w:rPr>
      </w:pPr>
      <w:r>
        <w:rPr>
          <w:rFonts w:ascii="Times New Roman" w:hAnsi="Times New Roman" w:eastAsia="Times New Roman" w:cs="Times New Roman"/>
          <w:b w:val="0"/>
          <w:bCs w:val="0"/>
          <w:i w:val="0"/>
          <w:iCs w:val="0"/>
          <w:sz w:val="24"/>
          <w:szCs w:val="24"/>
        </w:rPr>
        <w:t>The first three components explain 45.0% of the variance (25.5% + 12.9% + 6.6%), so a 2D plot does not show everything.</w:t>
      </w:r>
    </w:p>
    <w:p w14:paraId="28E0D06E">
      <w:pPr>
        <w:pStyle w:val="16"/>
        <w:numPr>
          <w:ilvl w:val="0"/>
          <w:numId w:val="2"/>
        </w:numPr>
        <w:spacing w:after="60" w:line="290" w:lineRule="auto"/>
        <w:rPr>
          <w:b w:val="0"/>
          <w:bCs w:val="0"/>
          <w:i w:val="0"/>
          <w:iCs w:val="0"/>
        </w:rPr>
      </w:pPr>
      <w:r>
        <w:rPr>
          <w:rFonts w:ascii="Times New Roman" w:hAnsi="Times New Roman" w:eastAsia="Times New Roman" w:cs="Times New Roman"/>
          <w:b w:val="0"/>
          <w:bCs w:val="0"/>
          <w:i w:val="0"/>
          <w:iCs w:val="0"/>
          <w:sz w:val="24"/>
          <w:szCs w:val="24"/>
        </w:rPr>
        <w:t>PCA works on linear relations only.</w:t>
      </w:r>
    </w:p>
    <w:p w14:paraId="0C4044D2">
      <w:pPr>
        <w:pStyle w:val="2"/>
        <w:keepNext/>
        <w:spacing w:before="260" w:after="120"/>
        <w:rPr>
          <w:b w:val="0"/>
          <w:bCs w:val="0"/>
          <w:i w:val="0"/>
          <w:iCs w:val="0"/>
        </w:rPr>
      </w:pPr>
      <w:r>
        <w:rPr>
          <w:rFonts w:ascii="Times New Roman" w:hAnsi="Times New Roman" w:eastAsia="Times New Roman" w:cs="Times New Roman"/>
          <w:b w:val="0"/>
          <w:bCs w:val="0"/>
          <w:i w:val="0"/>
          <w:iCs w:val="0"/>
          <w:color w:val="000000"/>
          <w:sz w:val="28"/>
          <w:szCs w:val="28"/>
        </w:rPr>
        <w:t>7. Conclusion</w:t>
      </w:r>
    </w:p>
    <w:p w14:paraId="502F059F">
      <w:pPr>
        <w:spacing w:after="120" w:line="300" w:lineRule="auto"/>
        <w:jc w:val="both"/>
        <w:rPr>
          <w:rFonts w:ascii="Times New Roman" w:hAnsi="Times New Roman" w:eastAsia="Times New Roman" w:cs="Times New Roman"/>
          <w:b w:val="0"/>
          <w:bCs w:val="0"/>
          <w:i w:val="0"/>
          <w:iCs w:val="0"/>
          <w:sz w:val="24"/>
          <w:szCs w:val="24"/>
        </w:rPr>
      </w:pPr>
      <w:r>
        <w:rPr>
          <w:rFonts w:ascii="Times New Roman" w:hAnsi="Times New Roman" w:eastAsia="Times New Roman" w:cs="Times New Roman"/>
          <w:b w:val="0"/>
          <w:bCs w:val="0"/>
          <w:i w:val="0"/>
          <w:iCs w:val="0"/>
          <w:sz w:val="24"/>
          <w:szCs w:val="24"/>
        </w:rPr>
        <w:t>PCA reduced 20 features to 13 components and kept 92.7% of the variance. The first component is about seniority and the next ones are about career history and promotion. The 13 components were used for K-Means (k = 4) and Hierarchical clustering.</w:t>
      </w:r>
    </w:p>
    <w:p w14:paraId="1EF54A72">
      <w:pPr>
        <w:spacing w:after="120" w:line="300" w:lineRule="auto"/>
        <w:jc w:val="both"/>
        <w:rPr>
          <w:rFonts w:ascii="Times New Roman" w:hAnsi="Times New Roman" w:eastAsia="Times New Roman" w:cs="Times New Roman"/>
          <w:b w:val="0"/>
          <w:bCs w:val="0"/>
          <w:i w:val="0"/>
          <w:iCs w:val="0"/>
          <w:sz w:val="24"/>
          <w:szCs w:val="24"/>
        </w:rPr>
      </w:pPr>
    </w:p>
    <w:sectPr>
      <w:footerReference r:id="rId3" w:type="default"/>
      <w:pgSz w:w="11906" w:h="16838"/>
      <w:pgMar w:top="930" w:right="1800" w:bottom="144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4499F9">
    <w:pPr>
      <w:jc w:val="center"/>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ind w:left="540" w:hanging="360"/>
      </w:pPr>
    </w:lvl>
  </w:abstractNum>
  <w:abstractNum w:abstractNumId="1">
    <w:nsid w:val="59ADCABA"/>
    <w:multiLevelType w:val="singleLevel"/>
    <w:tmpl w:val="59ADCABA"/>
    <w:lvl w:ilvl="0" w:tentative="0">
      <w:start w:val="1"/>
      <w:numFmt w:val="bullet"/>
      <w:lvlText w:val="•"/>
      <w:lvlJc w:val="left"/>
      <w:pPr>
        <w:ind w:left="540" w:hanging="27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compatSetting w:name="compatibilityMode" w:uri="http://schemas.microsoft.com/office/word" w:val="15"/>
  </w:compat>
  <w:rsids>
    <w:rsidRoot w:val="00000000"/>
    <w:rsid w:val="17DF0A39"/>
    <w:rsid w:val="247D14FC"/>
    <w:rsid w:val="283807CE"/>
    <w:rsid w:val="2D68440E"/>
    <w:rsid w:val="31324444"/>
    <w:rsid w:val="41CA4AFD"/>
    <w:rsid w:val="44C2225C"/>
    <w:rsid w:val="54344D19"/>
    <w:rsid w:val="6D68150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TotalTime>4</TotalTime>
  <ScaleCrop>false</ScaleCrop>
  <LinksUpToDate>false</LinksUpToDate>
  <Application>WPS Office_12.1.0.28096_F1E327BC-269C-435d-A152-05C5408002CA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2026-10-19T07:43:00Z</dcterms:created>
  <dc:creator>Un-named</dc:creator>
  <cp:lastModifiedBy>Sayali Chimbalkar</cp:lastModifiedBy>
  <dcterms:modified xsi:type="dcterms:W3CDTF">2026-10-19T08:49:28Z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eyJoZGlkIjoiNWRlZDAxNDA3OWUxOTU4MzQ1MGE1YmQxNmE1MTcwODQiLCJ1c2VySWQiOiI1NjcyOTEwOTc4ODYifQ==</vt:lpwstr>
  </property>
  <property fmtid="{D5CDD505-2E9C-101B-9397-08002B2CF9AE}" pid="3" name="KSOProductBuildVer">
    <vt:lpwstr>1033-12.1.0.28096</vt:lpwstr>
  </property>
  <property fmtid="{D5CDD505-2E9C-101B-9397-08002B2CF9AE}" pid="4" name="ICV">
    <vt:lpwstr>64C7B987C87644FD97514D314B15371E_13</vt:lpwstr>
  </property>
</Properties>
</file>