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9168B7">
      <w:pPr>
        <w:pStyle w:val="2"/>
        <w:jc w:val="both"/>
        <w:rPr>
          <w:rFonts w:hint="default" w:ascii="Times New Roman" w:hAnsi="Times New Roman" w:cs="Times New Roman"/>
          <w:color w:val="auto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  <w:lang w:val="en-US"/>
        </w:rPr>
        <w:t>Business Interpretation</w:t>
      </w:r>
    </w:p>
    <w:p w14:paraId="61907574">
      <w:pPr>
        <w:pStyle w:val="2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Executive summary</w:t>
      </w:r>
    </w:p>
    <w:p w14:paraId="2DF383DF">
      <w:pPr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About 16% of employees leave. Our best model can rank employees by leaving risk with ROC-AUC 0.86, and identifies about 63% of actual leavers in the test set, with 45% of the people it flags truly leaving. This is a useful screening tool to prioritise retention conversations, not a decision-maker about any individual.</w:t>
      </w:r>
    </w:p>
    <w:p w14:paraId="2A08138A">
      <w:pPr>
        <w:pStyle w:val="2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What drives attrition</w:t>
      </w:r>
    </w:p>
    <w:p w14:paraId="7914C96F">
      <w:pPr>
        <w:pStyle w:val="23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Overt</w:t>
      </w:r>
      <w:bookmarkStart w:id="0" w:name="_GoBack"/>
      <w:bookmarkEnd w:id="0"/>
      <w:r>
        <w:rPr>
          <w:rFonts w:hint="default" w:ascii="Times New Roman" w:hAnsi="Times New Roman" w:cs="Times New Roman"/>
          <w:color w:val="auto"/>
          <w:sz w:val="24"/>
          <w:szCs w:val="24"/>
        </w:rPr>
        <w:t>ime is the strongest controllable driver of attrition.</w:t>
      </w:r>
    </w:p>
    <w:p w14:paraId="72095D77">
      <w:pPr>
        <w:pStyle w:val="23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Low overall satisfaction  predicts leaving.</w:t>
      </w:r>
    </w:p>
    <w:p w14:paraId="263E2AEA">
      <w:pPr>
        <w:pStyle w:val="23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Stock options and income relative to job level: employees who feel under-rewarded for their level are at higher risk.</w:t>
      </w:r>
    </w:p>
    <w:p w14:paraId="7A8490D4">
      <w:pPr>
        <w:pStyle w:val="23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Career stability: many past employers combined with short tenure signals flight risk.</w:t>
      </w:r>
    </w:p>
    <w:p w14:paraId="473549F8">
      <w:pPr>
        <w:pStyle w:val="23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Age and early career: younger employees leave more often.</w:t>
      </w:r>
    </w:p>
    <w:p w14:paraId="5800DEF1">
      <w:pPr>
        <w:pStyle w:val="2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Recommended actions</w:t>
      </w:r>
    </w:p>
    <w:p w14:paraId="7FE81A00">
      <w:pPr>
        <w:pStyle w:val="23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Cap or monitor sustained overtime; trigger a manager check-in when overtime is frequent.</w:t>
      </w:r>
    </w:p>
    <w:p w14:paraId="2B693A60">
      <w:pPr>
        <w:pStyle w:val="23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Track the satisfaction index per team quarterly and act on the lowest-scoring teams first.</w:t>
      </w:r>
    </w:p>
    <w:p w14:paraId="43F673D2">
      <w:pPr>
        <w:pStyle w:val="23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Review pay relative to job level  and extend stock-option eligibility to under-rewarded staff.</w:t>
      </w:r>
    </w:p>
    <w:p w14:paraId="040071AD">
      <w:pPr>
        <w:pStyle w:val="23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Give new hires with job-hopping histories a mentor and a clear 12-month growth plan.</w:t>
      </w:r>
    </w:p>
    <w:p w14:paraId="2C027FC8">
      <w:pPr>
        <w:pStyle w:val="23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Use the model's tuned threshold to produce a monthly "watch list" for HR business partners.</w:t>
      </w:r>
    </w:p>
    <w:p w14:paraId="6D76FC83">
      <w:pPr>
        <w:pStyle w:val="2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4. How to use the model responsibly</w:t>
      </w:r>
    </w:p>
    <w:p w14:paraId="3A840394">
      <w:pPr>
        <w:pStyle w:val="23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Use risk scores to start supportive conversations, never for punishment or dismissal.</w:t>
      </w:r>
    </w:p>
    <w:p w14:paraId="2B273045">
      <w:pPr>
        <w:pStyle w:val="23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Review monthly; retrain at least every 6–12 months as the workforce changes.</w:t>
      </w:r>
    </w:p>
    <w:p w14:paraId="3A0257A8">
      <w:pPr>
        <w:pStyle w:val="23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Check fairness across gender, age and marital status before any deployment; do not use protected attributes to make decisions.</w:t>
      </w:r>
    </w:p>
    <w:p w14:paraId="5092B551">
      <w:pPr>
        <w:pStyle w:val="23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Expect false alarms: roughly half the flagged employees will not leave, so interventions should be low-cost and positive.</w:t>
      </w:r>
    </w:p>
    <w:p w14:paraId="1BF2F3D9">
      <w:pPr>
        <w:pStyle w:val="2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5. Cost–benefit view</w:t>
      </w:r>
    </w:p>
    <w:p w14:paraId="688E3402">
      <w:pPr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tuned threshold reduces false alarms compared with the default, so HR spends less time on employees who will not leave. If replacing an employee costs 50–150% of salary, retaining even a small share of correctly flagged leavers justifies the program.</w:t>
      </w:r>
    </w:p>
    <w:p w14:paraId="0593C3BA">
      <w:pPr>
        <w:pStyle w:val="2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6. Regression insight</w:t>
      </w:r>
    </w:p>
    <w:p w14:paraId="02EE9B2E">
      <w:pPr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Performance rating is a two-level score fixed by the salary-hike band, so it carries almost no extra signal. HR should treat ratings as a policy output, and use richer performance measures (goals, 360 feedback) if performance prediction is needed.</w:t>
      </w:r>
    </w:p>
    <w:p w14:paraId="465CB318">
      <w:pPr>
        <w:pStyle w:val="2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7. Next steps</w:t>
      </w:r>
    </w:p>
    <w:p w14:paraId="5679E3F5">
      <w:pPr>
        <w:pStyle w:val="23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Collect exit-interview data and engagement-survey comments to explain the "why".</w:t>
      </w:r>
    </w:p>
    <w:p w14:paraId="2CBC53C4">
      <w:pPr>
        <w:pStyle w:val="23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Pilot retention actions with a control group to measure real impact.</w:t>
      </w:r>
    </w:p>
    <w:p w14:paraId="66B9DAA4">
      <w:pPr>
        <w:pStyle w:val="23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Add time-based data to improve predictions.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8E7100"/>
    <w:rsid w:val="4FE362DC"/>
    <w:rsid w:val="53300D07"/>
    <w:rsid w:val="56AD7D44"/>
    <w:rsid w:val="656D2D76"/>
    <w:rsid w:val="7D30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Sayali Chimbalkar</cp:lastModifiedBy>
  <dcterms:modified xsi:type="dcterms:W3CDTF">2026-10-15T08:31:33Z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eyJoZGlkIjoiNWRlZDAxNDA3OWUxOTU4MzQ1MGE1YmQxNmE1MTcwODQiLCJ1c2VySWQiOiI1NjcyOTEwOTc4ODYifQ==</vt:lpwstr>
  </property>
  <property fmtid="{D5CDD505-2E9C-101B-9397-08002B2CF9AE}" pid="3" name="KSOProductBuildVer">
    <vt:lpwstr>1033-12.1.0.28096</vt:lpwstr>
  </property>
  <property fmtid="{D5CDD505-2E9C-101B-9397-08002B2CF9AE}" pid="4" name="ICV">
    <vt:lpwstr>D49DADEC64B54392A9D290D9B432FEA8_13</vt:lpwstr>
  </property>
</Properties>
</file>