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93057" w14:textId="77777777" w:rsidR="00916A75" w:rsidRDefault="00916A75" w:rsidP="00916A75">
      <w:pPr>
        <w:spacing w:before="1440" w:after="200" w:line="360" w:lineRule="auto"/>
        <w:jc w:val="center"/>
        <w:rPr>
          <w:rFonts w:ascii="Times New Roman" w:hAnsi="Times New Roman" w:cs="Times New Roman"/>
          <w:b/>
          <w:bCs/>
          <w:color w:val="1F4E79"/>
          <w:sz w:val="32"/>
          <w:szCs w:val="32"/>
        </w:rPr>
      </w:pPr>
      <w:r>
        <w:rPr>
          <w:rFonts w:ascii="Times New Roman" w:hAnsi="Times New Roman" w:cs="Times New Roman"/>
          <w:b/>
          <w:bCs/>
          <w:noProof/>
          <w:color w:val="1F4E79"/>
          <w:sz w:val="32"/>
          <w:szCs w:val="32"/>
        </w:rPr>
        <w:drawing>
          <wp:inline distT="0" distB="0" distL="0" distR="0" wp14:anchorId="0E35B9C0" wp14:editId="20419EBC">
            <wp:extent cx="3048000" cy="1285875"/>
            <wp:effectExtent l="0" t="0" r="0" b="9525"/>
            <wp:docPr id="40734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9998" name="Picture 407349998"/>
                    <pic:cNvPicPr/>
                  </pic:nvPicPr>
                  <pic:blipFill>
                    <a:blip r:embed="rId5">
                      <a:extLst>
                        <a:ext uri="{28A0092B-C50C-407E-A947-70E740481C1C}">
                          <a14:useLocalDpi xmlns:a14="http://schemas.microsoft.com/office/drawing/2010/main" val="0"/>
                        </a:ext>
                      </a:extLst>
                    </a:blip>
                    <a:stretch>
                      <a:fillRect/>
                    </a:stretch>
                  </pic:blipFill>
                  <pic:spPr>
                    <a:xfrm>
                      <a:off x="0" y="0"/>
                      <a:ext cx="3048000" cy="1285875"/>
                    </a:xfrm>
                    <a:prstGeom prst="rect">
                      <a:avLst/>
                    </a:prstGeom>
                  </pic:spPr>
                </pic:pic>
              </a:graphicData>
            </a:graphic>
          </wp:inline>
        </w:drawing>
      </w:r>
    </w:p>
    <w:p w14:paraId="7DF7E099" w14:textId="1073574F" w:rsidR="005D6592" w:rsidRPr="00916A75" w:rsidRDefault="00000000" w:rsidP="00916A75">
      <w:pPr>
        <w:spacing w:before="1440" w:after="200" w:line="360" w:lineRule="auto"/>
        <w:jc w:val="center"/>
        <w:rPr>
          <w:rFonts w:ascii="Times New Roman" w:hAnsi="Times New Roman" w:cs="Times New Roman"/>
          <w:sz w:val="32"/>
          <w:szCs w:val="32"/>
        </w:rPr>
      </w:pPr>
      <w:r w:rsidRPr="00916A75">
        <w:rPr>
          <w:rFonts w:ascii="Times New Roman" w:hAnsi="Times New Roman" w:cs="Times New Roman"/>
          <w:b/>
          <w:bCs/>
          <w:color w:val="1F4E79"/>
          <w:sz w:val="32"/>
          <w:szCs w:val="32"/>
        </w:rPr>
        <w:t>EQUITY VALUATION REPORT</w:t>
      </w:r>
    </w:p>
    <w:p w14:paraId="29704B04" w14:textId="77777777" w:rsidR="005D6592" w:rsidRPr="00916A75" w:rsidRDefault="00000000" w:rsidP="00916A75">
      <w:pPr>
        <w:spacing w:before="200" w:after="160" w:line="360" w:lineRule="auto"/>
        <w:jc w:val="center"/>
        <w:rPr>
          <w:rFonts w:ascii="Times New Roman" w:hAnsi="Times New Roman" w:cs="Times New Roman"/>
          <w:sz w:val="32"/>
          <w:szCs w:val="32"/>
        </w:rPr>
      </w:pPr>
      <w:r w:rsidRPr="00916A75">
        <w:rPr>
          <w:rFonts w:ascii="Times New Roman" w:hAnsi="Times New Roman" w:cs="Times New Roman"/>
          <w:b/>
          <w:bCs/>
          <w:color w:val="2E74B5"/>
          <w:sz w:val="32"/>
          <w:szCs w:val="32"/>
        </w:rPr>
        <w:t>Divi's Laboratories Limited</w:t>
      </w:r>
    </w:p>
    <w:p w14:paraId="53FA8EA0" w14:textId="77777777" w:rsidR="005D6592" w:rsidRPr="00916A75" w:rsidRDefault="00000000" w:rsidP="00916A75">
      <w:pPr>
        <w:spacing w:before="100" w:after="600" w:line="360" w:lineRule="auto"/>
        <w:jc w:val="center"/>
        <w:rPr>
          <w:rFonts w:ascii="Times New Roman" w:hAnsi="Times New Roman" w:cs="Times New Roman"/>
          <w:sz w:val="32"/>
          <w:szCs w:val="32"/>
        </w:rPr>
      </w:pPr>
      <w:r w:rsidRPr="00916A75">
        <w:rPr>
          <w:rFonts w:ascii="Times New Roman" w:hAnsi="Times New Roman" w:cs="Times New Roman"/>
          <w:color w:val="555555"/>
          <w:sz w:val="32"/>
          <w:szCs w:val="32"/>
        </w:rPr>
        <w:t>NSE: DIVISLAB | BSE: 532488</w:t>
      </w:r>
    </w:p>
    <w:p w14:paraId="4E3E767A" w14:textId="77777777" w:rsidR="005D6592" w:rsidRPr="00916A75" w:rsidRDefault="00000000" w:rsidP="00916A75">
      <w:pPr>
        <w:spacing w:before="80" w:after="80" w:line="360" w:lineRule="auto"/>
        <w:jc w:val="center"/>
        <w:rPr>
          <w:rFonts w:ascii="Times New Roman" w:hAnsi="Times New Roman" w:cs="Times New Roman"/>
          <w:sz w:val="32"/>
          <w:szCs w:val="32"/>
        </w:rPr>
      </w:pPr>
      <w:r w:rsidRPr="00916A75">
        <w:rPr>
          <w:rFonts w:ascii="Times New Roman" w:hAnsi="Times New Roman" w:cs="Times New Roman"/>
          <w:color w:val="444444"/>
          <w:sz w:val="32"/>
          <w:szCs w:val="32"/>
        </w:rPr>
        <w:t>Valuation Methodology: DCF &amp; Relative Valuation</w:t>
      </w:r>
    </w:p>
    <w:p w14:paraId="318B974A" w14:textId="7B4110A7" w:rsidR="005D6592" w:rsidRDefault="00000000" w:rsidP="00916A75">
      <w:pPr>
        <w:spacing w:before="80" w:after="1440" w:line="360" w:lineRule="auto"/>
        <w:jc w:val="center"/>
        <w:rPr>
          <w:rFonts w:ascii="Times New Roman" w:hAnsi="Times New Roman" w:cs="Times New Roman"/>
          <w:b/>
          <w:bCs/>
          <w:color w:val="006400"/>
          <w:sz w:val="32"/>
          <w:szCs w:val="32"/>
        </w:rPr>
      </w:pPr>
      <w:r w:rsidRPr="00916A75">
        <w:rPr>
          <w:rFonts w:ascii="Times New Roman" w:hAnsi="Times New Roman" w:cs="Times New Roman"/>
          <w:color w:val="666666"/>
          <w:sz w:val="32"/>
          <w:szCs w:val="32"/>
        </w:rPr>
        <w:t xml:space="preserve">Data Source: </w:t>
      </w:r>
      <w:proofErr w:type="spellStart"/>
      <w:r w:rsidRPr="00916A75">
        <w:rPr>
          <w:rFonts w:ascii="Times New Roman" w:hAnsi="Times New Roman" w:cs="Times New Roman"/>
          <w:color w:val="666666"/>
          <w:sz w:val="32"/>
          <w:szCs w:val="32"/>
        </w:rPr>
        <w:t>Capitaline</w:t>
      </w:r>
      <w:proofErr w:type="spellEnd"/>
      <w:r w:rsidRPr="00916A75">
        <w:rPr>
          <w:rFonts w:ascii="Times New Roman" w:hAnsi="Times New Roman" w:cs="Times New Roman"/>
          <w:color w:val="666666"/>
          <w:sz w:val="32"/>
          <w:szCs w:val="32"/>
        </w:rPr>
        <w:t xml:space="preserve"> Database, Annual Reports, BSE/NSE </w:t>
      </w:r>
      <w:proofErr w:type="gramStart"/>
      <w:r w:rsidRPr="00916A75">
        <w:rPr>
          <w:rFonts w:ascii="Times New Roman" w:hAnsi="Times New Roman" w:cs="Times New Roman"/>
          <w:color w:val="666666"/>
          <w:sz w:val="32"/>
          <w:szCs w:val="32"/>
        </w:rPr>
        <w:t>Filings</w:t>
      </w:r>
      <w:r w:rsidR="00916A75">
        <w:rPr>
          <w:rFonts w:ascii="Times New Roman" w:hAnsi="Times New Roman" w:cs="Times New Roman"/>
          <w:sz w:val="32"/>
          <w:szCs w:val="32"/>
        </w:rPr>
        <w:t xml:space="preserve">  </w:t>
      </w:r>
      <w:r w:rsidRPr="00916A75">
        <w:rPr>
          <w:rFonts w:ascii="Times New Roman" w:hAnsi="Times New Roman" w:cs="Times New Roman"/>
          <w:b/>
          <w:bCs/>
          <w:color w:val="1F4E79"/>
          <w:sz w:val="32"/>
          <w:szCs w:val="32"/>
        </w:rPr>
        <w:t>Recommendation</w:t>
      </w:r>
      <w:proofErr w:type="gramEnd"/>
      <w:r w:rsidRPr="00916A75">
        <w:rPr>
          <w:rFonts w:ascii="Times New Roman" w:hAnsi="Times New Roman" w:cs="Times New Roman"/>
          <w:b/>
          <w:bCs/>
          <w:color w:val="1F4E79"/>
          <w:sz w:val="32"/>
          <w:szCs w:val="32"/>
        </w:rPr>
        <w:t xml:space="preserve">: </w:t>
      </w:r>
      <w:r w:rsidRPr="00916A75">
        <w:rPr>
          <w:rFonts w:ascii="Times New Roman" w:hAnsi="Times New Roman" w:cs="Times New Roman"/>
          <w:b/>
          <w:bCs/>
          <w:color w:val="006400"/>
          <w:sz w:val="32"/>
          <w:szCs w:val="32"/>
        </w:rPr>
        <w:t>STRONG BUY</w:t>
      </w:r>
    </w:p>
    <w:p w14:paraId="1EC966D6" w14:textId="77777777" w:rsidR="00916A75" w:rsidRDefault="00916A75" w:rsidP="00916A75">
      <w:pPr>
        <w:spacing w:before="80" w:after="1440"/>
        <w:rPr>
          <w:rFonts w:ascii="Times New Roman" w:hAnsi="Times New Roman" w:cs="Times New Roman"/>
          <w:b/>
          <w:bCs/>
          <w:color w:val="006400"/>
          <w:sz w:val="32"/>
          <w:szCs w:val="32"/>
        </w:rPr>
      </w:pPr>
      <w:r>
        <w:rPr>
          <w:rFonts w:ascii="Times New Roman" w:hAnsi="Times New Roman" w:cs="Times New Roman"/>
          <w:b/>
          <w:bCs/>
          <w:color w:val="006400"/>
          <w:sz w:val="32"/>
          <w:szCs w:val="32"/>
        </w:rPr>
        <w:t>Submitted By: Sayali Mhatre</w:t>
      </w:r>
    </w:p>
    <w:p w14:paraId="1A8D180D" w14:textId="04A3E65E" w:rsidR="005D6592" w:rsidRPr="00916A75" w:rsidRDefault="00916A75" w:rsidP="00916A75">
      <w:pPr>
        <w:spacing w:before="80" w:after="1440"/>
        <w:rPr>
          <w:rFonts w:ascii="Times New Roman" w:hAnsi="Times New Roman" w:cs="Times New Roman"/>
          <w:b/>
          <w:bCs/>
          <w:color w:val="006400"/>
          <w:sz w:val="32"/>
          <w:szCs w:val="32"/>
        </w:rPr>
      </w:pPr>
      <w:r>
        <w:rPr>
          <w:rFonts w:ascii="Times New Roman" w:hAnsi="Times New Roman" w:cs="Times New Roman"/>
          <w:b/>
          <w:bCs/>
          <w:color w:val="006400"/>
          <w:sz w:val="32"/>
          <w:szCs w:val="32"/>
        </w:rPr>
        <w:t>Submitted To: Dr. Purnima Rao</w:t>
      </w:r>
      <w:r w:rsidRPr="0080221D">
        <w:rPr>
          <w:rFonts w:ascii="Times New Roman" w:hAnsi="Times New Roman" w:cs="Times New Roman"/>
          <w:sz w:val="24"/>
          <w:szCs w:val="24"/>
        </w:rPr>
        <w:br w:type="page"/>
      </w:r>
      <w:r w:rsidRPr="0080221D">
        <w:rPr>
          <w:rFonts w:ascii="Times New Roman" w:hAnsi="Times New Roman" w:cs="Times New Roman"/>
          <w:b/>
          <w:bCs/>
          <w:color w:val="1F4E79"/>
          <w:sz w:val="24"/>
          <w:szCs w:val="24"/>
        </w:rPr>
        <w:lastRenderedPageBreak/>
        <w:t>1. Company Overview and Context</w:t>
      </w:r>
    </w:p>
    <w:p w14:paraId="31E06B2A"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Divi's Laboratories Limited is one of India's most respected pharmaceutical companies, primarily engaged in the manufacturing of active pharmaceutical ingredients (APIs) and intermediates. Founded in 1990 and headquartered in Hyderabad, the company has carved out a significant niche for itself in the global generic pharmaceutical supply chain. It serves as a key supplier to several of the world's leading pharmaceutical innovators, which makes it a critical component in the global drug manufacturing ecosystem.</w:t>
      </w:r>
    </w:p>
    <w:p w14:paraId="097BE5D4"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company operates across two main business segments. The first is the Generics segment, which focuses on producing APIs for widely used generic drugs once their patents expire. The second is the Custom Synthesis segment, where Divi's partners directly with global innovator companies to manufacture patented drug ingredients under long-term agreements. This dual business model gives the company a relatively stable revenue base while also offering high-margin opportunities from exclusive partnerships.</w:t>
      </w:r>
    </w:p>
    <w:p w14:paraId="712CB900"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Divi's is listed on both the National Stock Exchange (NSE) and the Bombay Stock Exchange (BSE) and is a constituent of major benchmark indices including the Nifty 50. With a paid-up capital of INR 53 crore (representing 53 crore shares), the company has maintained a consistent track record of financial discipline, characterized by virtually zero debt, strong cash generation, and high returns on equity.</w:t>
      </w:r>
    </w:p>
    <w:p w14:paraId="5BC21DAC"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Industry and Market Position</w:t>
      </w:r>
    </w:p>
    <w:p w14:paraId="40F9463F"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India's pharmaceutical sector is one of the most dynamic industries in the world. India is the largest supplier of generic medicines globally, accounting for roughly 20% of global generic drug exports by volume. The domestic API manufacturing segment has been receiving renewed policy attention following COVID-19, which exposed the global supply chain's dependence on Chinese API manufacturers. This geopolitical shift has been particularly beneficial for Indian API producers like Divi's.</w:t>
      </w:r>
    </w:p>
    <w:p w14:paraId="3608B4E8" w14:textId="556A70A9"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Divi's is widely regarded as a best-in-class API manufacturer. It has consistently received clean regulatory outcomes from the US FDA, European Medicines Agency (EMA), and other global drug </w:t>
      </w:r>
      <w:proofErr w:type="gramStart"/>
      <w:r w:rsidRPr="0080221D">
        <w:rPr>
          <w:rFonts w:ascii="Times New Roman" w:hAnsi="Times New Roman" w:cs="Times New Roman"/>
          <w:sz w:val="24"/>
          <w:szCs w:val="24"/>
        </w:rPr>
        <w:t>regulators  something</w:t>
      </w:r>
      <w:proofErr w:type="gramEnd"/>
      <w:r w:rsidRPr="0080221D">
        <w:rPr>
          <w:rFonts w:ascii="Times New Roman" w:hAnsi="Times New Roman" w:cs="Times New Roman"/>
          <w:sz w:val="24"/>
          <w:szCs w:val="24"/>
        </w:rPr>
        <w:t xml:space="preserve"> not every Indian pharma company can claim. This regulatory track record has allowed it to maintain long-standing relationships with multinational clients and has kept its brand equity high even during sector-wide stress periods.</w:t>
      </w:r>
    </w:p>
    <w:p w14:paraId="0710EFD7"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lastRenderedPageBreak/>
        <w:t>Compared to peers such as Sun Pharma, Dr. Reddy's Laboratories, and Cipla, Divi's has a more focused and less diversified business model. It does not have a branded formulations business, which means its revenue is driven entirely by volume and pricing in the API market. This makes it more sensitive to raw material costs and currency movements but also keeps its operational complexity relatively low.</w:t>
      </w:r>
    </w:p>
    <w:p w14:paraId="05C42CE5" w14:textId="415B19BA"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1F4E79"/>
          <w:sz w:val="24"/>
          <w:szCs w:val="24"/>
        </w:rPr>
        <w:t xml:space="preserve">2. EIC </w:t>
      </w:r>
      <w:proofErr w:type="gramStart"/>
      <w:r w:rsidRPr="0080221D">
        <w:rPr>
          <w:rFonts w:ascii="Times New Roman" w:hAnsi="Times New Roman" w:cs="Times New Roman"/>
          <w:b/>
          <w:bCs/>
          <w:color w:val="1F4E79"/>
          <w:sz w:val="24"/>
          <w:szCs w:val="24"/>
        </w:rPr>
        <w:t>Analysis  Economy</w:t>
      </w:r>
      <w:proofErr w:type="gramEnd"/>
      <w:r w:rsidRPr="0080221D">
        <w:rPr>
          <w:rFonts w:ascii="Times New Roman" w:hAnsi="Times New Roman" w:cs="Times New Roman"/>
          <w:b/>
          <w:bCs/>
          <w:color w:val="1F4E79"/>
          <w:sz w:val="24"/>
          <w:szCs w:val="24"/>
        </w:rPr>
        <w:t>, Industry, and Company</w:t>
      </w:r>
    </w:p>
    <w:p w14:paraId="51FB0CBB"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2.1 Economic Environment</w:t>
      </w:r>
    </w:p>
    <w:p w14:paraId="27243CF9"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India's macroeconomic environment has remained broadly supportive for pharmaceutical exporters during the analysis period. The country's GDP growth averaged approximately 7-8% annually (excluding the COVID-impacted year of FY21, where GDP contracted by around 5.8%). This sustained growth has supported domestic healthcare spending, while the weakening of the Indian Rupee against the US Dollar has generally been </w:t>
      </w:r>
      <w:proofErr w:type="spellStart"/>
      <w:r w:rsidRPr="0080221D">
        <w:rPr>
          <w:rFonts w:ascii="Times New Roman" w:hAnsi="Times New Roman" w:cs="Times New Roman"/>
          <w:sz w:val="24"/>
          <w:szCs w:val="24"/>
        </w:rPr>
        <w:t>favorable</w:t>
      </w:r>
      <w:proofErr w:type="spellEnd"/>
      <w:r w:rsidRPr="0080221D">
        <w:rPr>
          <w:rFonts w:ascii="Times New Roman" w:hAnsi="Times New Roman" w:cs="Times New Roman"/>
          <w:sz w:val="24"/>
          <w:szCs w:val="24"/>
        </w:rPr>
        <w:t xml:space="preserve"> for export-oriented companies like Divi's, since a large portion of their revenues are dollar-denominated.</w:t>
      </w:r>
    </w:p>
    <w:p w14:paraId="3443EA89"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For the purposes of this valuation, the perpetuity growth rate of 8.25% has been used as a proxy for the long-term nominal GDP growth rate of India. This was derived from the average GDP growth rate over FY2020 to FY2024, explicitly excluding FY2020's negative growth figure to avoid distorting the long-term estimate. The risk-free rate of 7.129% has been sourced from the 10-year Government of India bond yield as of January 7, 2023.</w:t>
      </w:r>
    </w:p>
    <w:p w14:paraId="2C894796"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2.2 Industry Analysis</w:t>
      </w:r>
    </w:p>
    <w:p w14:paraId="298C19B7"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India's pharmaceutical industry is at a structural inflection point. The country's steel-equivalent in pharma is its API sector, which directly competes with China on cost and now increasingly wins on quality and regulatory compliance. Government initiatives like the Production Linked Incentive (PLI) scheme for bulk drugs are incentivizing capacity expansion, and Divi's is well-positioned to benefit from these tailwinds.</w:t>
      </w:r>
    </w:p>
    <w:p w14:paraId="7EC33B3F" w14:textId="57FB176F"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From a competitive standpoint, the API industry is moderately concentrated. Divi's occupies a unique position in that it has very few direct domestic competitors of comparable scale and quality in the custom synthesis space. The regulatory barriers to entry are </w:t>
      </w:r>
      <w:proofErr w:type="gramStart"/>
      <w:r w:rsidRPr="0080221D">
        <w:rPr>
          <w:rFonts w:ascii="Times New Roman" w:hAnsi="Times New Roman" w:cs="Times New Roman"/>
          <w:sz w:val="24"/>
          <w:szCs w:val="24"/>
        </w:rPr>
        <w:t>high  getting</w:t>
      </w:r>
      <w:proofErr w:type="gramEnd"/>
      <w:r w:rsidRPr="0080221D">
        <w:rPr>
          <w:rFonts w:ascii="Times New Roman" w:hAnsi="Times New Roman" w:cs="Times New Roman"/>
          <w:sz w:val="24"/>
          <w:szCs w:val="24"/>
        </w:rPr>
        <w:t xml:space="preserve"> US FDA approval for a new API manufacturing facility can take years and significant capital. This acts as a natural moat for established players.</w:t>
      </w:r>
    </w:p>
    <w:p w14:paraId="22C4E1D1"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That said, the industry is not without risks. Global pharmaceutical spending patterns, pricing pressure from originators, generic drug price erosion, and input cost volatility (especially for key chemicals sourced </w:t>
      </w:r>
      <w:r w:rsidRPr="0080221D">
        <w:rPr>
          <w:rFonts w:ascii="Times New Roman" w:hAnsi="Times New Roman" w:cs="Times New Roman"/>
          <w:sz w:val="24"/>
          <w:szCs w:val="24"/>
        </w:rPr>
        <w:lastRenderedPageBreak/>
        <w:t>from China) are ongoing concerns. The sector also operates under a very tight regulatory framework, and even a single warning letter from the US FDA can have severe financial consequences.</w:t>
      </w:r>
    </w:p>
    <w:p w14:paraId="7617C133" w14:textId="56BEDC42"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 xml:space="preserve">2.3 Company </w:t>
      </w:r>
      <w:proofErr w:type="gramStart"/>
      <w:r w:rsidRPr="0080221D">
        <w:rPr>
          <w:rFonts w:ascii="Times New Roman" w:hAnsi="Times New Roman" w:cs="Times New Roman"/>
        </w:rPr>
        <w:t>Analysis  Recent</w:t>
      </w:r>
      <w:proofErr w:type="gramEnd"/>
      <w:r w:rsidRPr="0080221D">
        <w:rPr>
          <w:rFonts w:ascii="Times New Roman" w:hAnsi="Times New Roman" w:cs="Times New Roman"/>
        </w:rPr>
        <w:t xml:space="preserve"> Financial Performance</w:t>
      </w:r>
    </w:p>
    <w:p w14:paraId="085BBD2A"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Divi's Laboratories has delivered impressive financial results over the last five years, though FY2023 saw a temporary dip after an exceptional FY2022. Revenue from operations grew from INR 6,799 crore in FY2021 to INR 9,198 crore in FY2025, representing a compound annual growth rate of approximately 7-8%. The company's peak performance came in FY2022, when revenues reached INR 8,880 crore and net income crossed INR 6,038 crore, driven by COVID-related custom synthesis demand.</w:t>
      </w:r>
    </w:p>
    <w:p w14:paraId="42749CA5"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EBITDA margins have consistently remained in the 37-48% range, which is best-in-class for the Indian pharmaceutical sector. In FY2022, the EBITDA margin reached 48.42%, reflecting a period of exceptional demand and pricing. By FY2024, margins had moderated to 37.68% due to normalizing demand and higher input costs, before recovering to 40.58% in FY2025. This is still significantly higher than the margins seen at competitors like Dr. Reddy's (~23%) and Cipla (~15%), highlighting Divi's inherent operational efficiency.</w:t>
      </w:r>
    </w:p>
    <w:p w14:paraId="0EAA3C1D" w14:textId="7314AF22"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The balance sheet tells an equally compelling story. The company carries virtually zero financial </w:t>
      </w:r>
      <w:proofErr w:type="gramStart"/>
      <w:r w:rsidRPr="0080221D">
        <w:rPr>
          <w:rFonts w:ascii="Times New Roman" w:hAnsi="Times New Roman" w:cs="Times New Roman"/>
          <w:sz w:val="24"/>
          <w:szCs w:val="24"/>
        </w:rPr>
        <w:t>debt  total</w:t>
      </w:r>
      <w:proofErr w:type="gramEnd"/>
      <w:r w:rsidRPr="0080221D">
        <w:rPr>
          <w:rFonts w:ascii="Times New Roman" w:hAnsi="Times New Roman" w:cs="Times New Roman"/>
          <w:sz w:val="24"/>
          <w:szCs w:val="24"/>
        </w:rPr>
        <w:t xml:space="preserve"> borrowings as of FY2025 stood at just INR 2 crore. Total equity stood at INR 14,895 crore, giving it a book value per share of over INR 2,800. The company's net cash position (cash of INR 3,696 crore against debt of INR 2 crore) means it is effectively a net-cash company. Return on Equity (ROE) stood at 40.5% in FY2025, and Return on Capital Employed (ROCE) was 50.07%, both exceptionally high figures that reflect the efficiency with which the company deploys its capital.</w:t>
      </w:r>
    </w:p>
    <w:p w14:paraId="6D550443" w14:textId="5EF6BA7A"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sz w:val="24"/>
          <w:szCs w:val="24"/>
        </w:rPr>
        <w:br w:type="page"/>
      </w:r>
      <w:r w:rsidRPr="0080221D">
        <w:rPr>
          <w:rFonts w:ascii="Times New Roman" w:hAnsi="Times New Roman" w:cs="Times New Roman"/>
          <w:b/>
          <w:bCs/>
          <w:color w:val="1F4E79"/>
          <w:sz w:val="24"/>
          <w:szCs w:val="24"/>
        </w:rPr>
        <w:lastRenderedPageBreak/>
        <w:t>3. Valuation Methodology and Key Assumptions</w:t>
      </w:r>
    </w:p>
    <w:p w14:paraId="71916091"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3.1 Discounted Cash Flow (DCF) Valuation</w:t>
      </w:r>
    </w:p>
    <w:p w14:paraId="3E2FF2B1" w14:textId="44666D7D"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DCF model is the primary valuation tool used in this report. The fundamental idea behind DCF is that a business is worth the present value of all the cash flows it is expected to generate in the future. For a high-quality, capital-light business like Divi's, this approach is particularly appropriate as it captures the long-term earnings power of the franchise.</w:t>
      </w:r>
      <w:r w:rsidR="0080221D">
        <w:rPr>
          <w:rFonts w:ascii="Times New Roman" w:hAnsi="Times New Roman" w:cs="Times New Roman"/>
          <w:sz w:val="24"/>
          <w:szCs w:val="24"/>
        </w:rPr>
        <w:t xml:space="preserve"> </w:t>
      </w:r>
      <w:r w:rsidRPr="0080221D">
        <w:rPr>
          <w:rFonts w:ascii="Times New Roman" w:hAnsi="Times New Roman" w:cs="Times New Roman"/>
          <w:sz w:val="24"/>
          <w:szCs w:val="24"/>
        </w:rPr>
        <w:t>The forecast period used is five years (FY2026 to FY2030), with a terminal value computed thereafter using the Gordon Growth Model. Free Cash Flow to Firm (FCFF) is the basis for the projection, calculated as EBIT × (1 - Tax Rate) + Depreciation - CAPEX - Net Changes in Working Capital.</w:t>
      </w:r>
    </w:p>
    <w:p w14:paraId="507E450B"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3.2 Revenue Growth Assumptions</w:t>
      </w:r>
    </w:p>
    <w:p w14:paraId="7FE13692" w14:textId="4E27412D"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Revenue growth is the most critical assumption in any DCF model. For Divi's, a base case growth rate of 9.25% per annum has been used for the forecast period. This is supported by the following rationale: India's steel consumption analogy applies </w:t>
      </w:r>
      <w:proofErr w:type="gramStart"/>
      <w:r w:rsidRPr="0080221D">
        <w:rPr>
          <w:rFonts w:ascii="Times New Roman" w:hAnsi="Times New Roman" w:cs="Times New Roman"/>
          <w:sz w:val="24"/>
          <w:szCs w:val="24"/>
        </w:rPr>
        <w:t>here  just</w:t>
      </w:r>
      <w:proofErr w:type="gramEnd"/>
      <w:r w:rsidRPr="0080221D">
        <w:rPr>
          <w:rFonts w:ascii="Times New Roman" w:hAnsi="Times New Roman" w:cs="Times New Roman"/>
          <w:sz w:val="24"/>
          <w:szCs w:val="24"/>
        </w:rPr>
        <w:t xml:space="preserve"> as the IBEF projects India's steel consumption to rise from 130 MT in 2022 to 230 MT by 2030, similarly, demand for APIs from India is expected to grow meaningfully as global pharmaceutical companies diversify their supply chains away from China. A 9.25% annual revenue growth for an API company of Divi's stature over a 5-year period is, if anything, a conservative estimate.</w:t>
      </w:r>
      <w:r w:rsidR="0080221D">
        <w:rPr>
          <w:rFonts w:ascii="Times New Roman" w:hAnsi="Times New Roman" w:cs="Times New Roman"/>
          <w:sz w:val="24"/>
          <w:szCs w:val="24"/>
        </w:rPr>
        <w:t xml:space="preserve"> </w:t>
      </w:r>
      <w:r w:rsidRPr="0080221D">
        <w:rPr>
          <w:rFonts w:ascii="Times New Roman" w:hAnsi="Times New Roman" w:cs="Times New Roman"/>
          <w:sz w:val="24"/>
          <w:szCs w:val="24"/>
        </w:rPr>
        <w:t>Under the optimistic scenario, a growth rate of 11.25% has been assumed, while the worst case uses 7.25%. The base case projects revenues growing from INR 9,198 crore in FY2025 to approximately INR 15,676 crore by FY2030, which reflects continued strong demand from both the generics and custom synthesis segments.</w:t>
      </w:r>
    </w:p>
    <w:p w14:paraId="7DF78083"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3.3 WACC Calculation</w:t>
      </w:r>
    </w:p>
    <w:p w14:paraId="1B0A1D00"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Weighted Average Cost of Capital (WACC) is used as the discount rate and was derived as follows. Given that the company has virtually no debt (debt-to-total-capital ratio of just 0.013%), the WACC is almost entirely driven by the cost of equity, calculated using the Capital Asset Pricing Model (CAPM).</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5D6592" w:rsidRPr="0080221D" w14:paraId="4149D9A1" w14:textId="77777777">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0742C4"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CAPM Parameter</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995B2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Value</w:t>
            </w:r>
          </w:p>
        </w:tc>
      </w:tr>
      <w:tr w:rsidR="005D6592" w:rsidRPr="0080221D" w14:paraId="678B1E7F"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ECAC2"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Risk-Free Rate (Rf)</w:t>
            </w:r>
          </w:p>
        </w:tc>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3254314"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7.129% (10-year GOI Bond Yield)</w:t>
            </w:r>
          </w:p>
        </w:tc>
      </w:tr>
      <w:tr w:rsidR="005D6592" w:rsidRPr="0080221D" w14:paraId="7CADA479"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DCBDF"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Beta (5-Year, vs BSE Sensex)</w:t>
            </w:r>
          </w:p>
        </w:tc>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5230CC5"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0.2662</w:t>
            </w:r>
          </w:p>
        </w:tc>
      </w:tr>
      <w:tr w:rsidR="005D6592" w:rsidRPr="0080221D" w14:paraId="657B4695"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BBE07"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Market Risk Premium (ERP)</w:t>
            </w:r>
          </w:p>
        </w:tc>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805E6FE"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7.08%</w:t>
            </w:r>
          </w:p>
        </w:tc>
      </w:tr>
      <w:tr w:rsidR="005D6592" w:rsidRPr="0080221D" w14:paraId="1F492624"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FB7B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Cost of Equity (Ke)</w:t>
            </w:r>
          </w:p>
        </w:tc>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E46DAEB"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8.48%</w:t>
            </w:r>
          </w:p>
        </w:tc>
      </w:tr>
      <w:tr w:rsidR="005D6592" w:rsidRPr="0080221D" w14:paraId="1CF62CFC"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8F277"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lastRenderedPageBreak/>
              <w:t>Cost of Debt (Post-Tax)</w:t>
            </w:r>
          </w:p>
        </w:tc>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D8AB2B3"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Negligible (virtually zero debt)</w:t>
            </w:r>
          </w:p>
        </w:tc>
      </w:tr>
      <w:tr w:rsidR="005D6592" w:rsidRPr="0080221D" w14:paraId="28313C97"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87C9D"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WACC</w:t>
            </w:r>
          </w:p>
        </w:tc>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B416E4C"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8.50%</w:t>
            </w:r>
          </w:p>
        </w:tc>
      </w:tr>
    </w:tbl>
    <w:p w14:paraId="03EE44AD" w14:textId="77777777" w:rsidR="005D6592" w:rsidRPr="0080221D" w:rsidRDefault="005D6592" w:rsidP="0080221D">
      <w:pPr>
        <w:spacing w:before="80" w:after="80" w:line="360" w:lineRule="auto"/>
        <w:jc w:val="both"/>
        <w:rPr>
          <w:rFonts w:ascii="Times New Roman" w:hAnsi="Times New Roman" w:cs="Times New Roman"/>
          <w:sz w:val="24"/>
          <w:szCs w:val="24"/>
        </w:rPr>
      </w:pPr>
    </w:p>
    <w:p w14:paraId="66CD4FD3" w14:textId="4FE38D48"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The beta of 0.2662 was computed using five years of daily price data for Divi's Laboratories against the BSE Sensex, using the SLOPE function in Excel. This is a notably low beta, which makes intuitive </w:t>
      </w:r>
      <w:proofErr w:type="gramStart"/>
      <w:r w:rsidRPr="0080221D">
        <w:rPr>
          <w:rFonts w:ascii="Times New Roman" w:hAnsi="Times New Roman" w:cs="Times New Roman"/>
          <w:sz w:val="24"/>
          <w:szCs w:val="24"/>
        </w:rPr>
        <w:t>sense  Divi's</w:t>
      </w:r>
      <w:proofErr w:type="gramEnd"/>
      <w:r w:rsidRPr="0080221D">
        <w:rPr>
          <w:rFonts w:ascii="Times New Roman" w:hAnsi="Times New Roman" w:cs="Times New Roman"/>
          <w:sz w:val="24"/>
          <w:szCs w:val="24"/>
        </w:rPr>
        <w:t xml:space="preserve"> is a defensive, cash-generative business with stable demand from global pharmaceutical companies, and its stock tends to be less sensitive to broad market movements compared to cyclical sectors. Over the 5-year period </w:t>
      </w:r>
      <w:proofErr w:type="spellStart"/>
      <w:r w:rsidRPr="0080221D">
        <w:rPr>
          <w:rFonts w:ascii="Times New Roman" w:hAnsi="Times New Roman" w:cs="Times New Roman"/>
          <w:sz w:val="24"/>
          <w:szCs w:val="24"/>
        </w:rPr>
        <w:t>analyzed</w:t>
      </w:r>
      <w:proofErr w:type="spellEnd"/>
      <w:r w:rsidRPr="0080221D">
        <w:rPr>
          <w:rFonts w:ascii="Times New Roman" w:hAnsi="Times New Roman" w:cs="Times New Roman"/>
          <w:sz w:val="24"/>
          <w:szCs w:val="24"/>
        </w:rPr>
        <w:t>, Divi's generated a return of 5.88% compared to the Sensex's 3.77%, confirming a modest level of market-relative outperformance.</w:t>
      </w:r>
    </w:p>
    <w:p w14:paraId="6D7C4D95"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3.4 Terminal Value and Perpetuity Growth Rate</w:t>
      </w:r>
    </w:p>
    <w:p w14:paraId="54B9379A"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terminal value represents the value of all cash flows beyond the explicit forecast period. A perpetuity growth rate of 8.25% was selected, reflecting India's long-term nominal GDP growth potential. It must be noted that this rate is very close to the WACC of 8.50%, which creates a scenario where the terminal growth rate captures a significant portion of the total enterprise value. This is a common feature of high-quality, high-growth businesses in emerging markets.</w:t>
      </w:r>
    </w:p>
    <w:p w14:paraId="1913F131" w14:textId="52FC3FFA"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sz w:val="24"/>
          <w:szCs w:val="24"/>
        </w:rPr>
        <w:br w:type="page"/>
      </w:r>
      <w:r w:rsidRPr="0080221D">
        <w:rPr>
          <w:rFonts w:ascii="Times New Roman" w:hAnsi="Times New Roman" w:cs="Times New Roman"/>
          <w:b/>
          <w:bCs/>
          <w:color w:val="1F4E79"/>
          <w:sz w:val="24"/>
          <w:szCs w:val="24"/>
        </w:rPr>
        <w:lastRenderedPageBreak/>
        <w:t xml:space="preserve">4. DCF </w:t>
      </w:r>
      <w:proofErr w:type="gramStart"/>
      <w:r w:rsidRPr="0080221D">
        <w:rPr>
          <w:rFonts w:ascii="Times New Roman" w:hAnsi="Times New Roman" w:cs="Times New Roman"/>
          <w:b/>
          <w:bCs/>
          <w:color w:val="1F4E79"/>
          <w:sz w:val="24"/>
          <w:szCs w:val="24"/>
        </w:rPr>
        <w:t>Valuation  Results</w:t>
      </w:r>
      <w:proofErr w:type="gramEnd"/>
    </w:p>
    <w:p w14:paraId="2D18B55A"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4.1 Free Cash Flow Projections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300"/>
        <w:gridCol w:w="1300"/>
        <w:gridCol w:w="1300"/>
        <w:gridCol w:w="1200"/>
      </w:tblGrid>
      <w:tr w:rsidR="005D6592" w:rsidRPr="0080221D" w14:paraId="6A34AA78" w14:textId="77777777">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F1FB4A"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Particulars (INR Cr.)</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9420533"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FY2026F</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CE3BA9"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FY2027F</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D39CD5"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FY2028F</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347A6E"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FY2029F</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49D31C"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FY2030F</w:t>
            </w:r>
          </w:p>
        </w:tc>
      </w:tr>
      <w:tr w:rsidR="005D6592" w:rsidRPr="0080221D" w14:paraId="546B147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C9A82"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Revenue</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44029B2"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10,233</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C5B8B"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11,384</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FA0CC95"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12,665</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553A3"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14,090</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0F65016"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15,676</w:t>
            </w:r>
          </w:p>
        </w:tc>
      </w:tr>
      <w:tr w:rsidR="005D6592" w:rsidRPr="0080221D" w14:paraId="6998BC1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DD79A"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EBIT</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74500C4"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7,466</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B4687"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8,316</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60D9564"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9,196</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8E9D5"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10,251</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69F5550"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11,454</w:t>
            </w:r>
          </w:p>
        </w:tc>
      </w:tr>
      <w:tr w:rsidR="005D6592" w:rsidRPr="0080221D" w14:paraId="0225600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74E35A"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NOPAT (EBIT×(1-Tax))</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642A61F"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5,629</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BD677"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6,270</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38F7FF3"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6,934</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C7C9F"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7,729</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CB5B675"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8,636</w:t>
            </w:r>
          </w:p>
        </w:tc>
      </w:tr>
      <w:tr w:rsidR="005D6592" w:rsidRPr="0080221D" w14:paraId="77BDD86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2996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Add: Depreciation</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6230319"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447</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A8D02"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493</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9403EAC"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545</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1281F"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596</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75D0CB8"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658</w:t>
            </w:r>
          </w:p>
        </w:tc>
      </w:tr>
      <w:tr w:rsidR="005D6592" w:rsidRPr="0080221D" w14:paraId="2ECB959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45816"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Less: CAPEX</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2542E52"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(1,041)</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1A999"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(1,083)</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3543A10"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(1,180)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4255E"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(1,301)</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E5A71C6"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(1,575)</w:t>
            </w:r>
          </w:p>
        </w:tc>
      </w:tr>
      <w:tr w:rsidR="005D6592" w:rsidRPr="0080221D" w14:paraId="050AF76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79C53"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Less: Change in WC</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774F266"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368</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3E926"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661</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B945C8D"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634</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F6FE7"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656</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664D34D"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641</w:t>
            </w:r>
          </w:p>
        </w:tc>
      </w:tr>
      <w:tr w:rsidR="005D6592" w:rsidRPr="0080221D" w14:paraId="31C349D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220BC"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Free Cash Flow</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26E7882"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5,403</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1CD25"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6,342</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CF7EDF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6,934</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01DCE"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7,680</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E3426D9"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8,360</w:t>
            </w:r>
          </w:p>
        </w:tc>
      </w:tr>
      <w:tr w:rsidR="005D6592" w:rsidRPr="0080221D" w14:paraId="1A8DAE9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3C1DA"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PV of FCF</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1608364"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4,980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D59D6"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5,387</w:t>
            </w:r>
          </w:p>
        </w:tc>
        <w:tc>
          <w:tcPr>
            <w:tcW w:w="13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58C3DA8"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5,428</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64AD8"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5,542</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8122120"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5,560</w:t>
            </w:r>
          </w:p>
        </w:tc>
      </w:tr>
    </w:tbl>
    <w:p w14:paraId="48702BF4" w14:textId="77777777" w:rsidR="005D6592" w:rsidRPr="0080221D" w:rsidRDefault="005D6592" w:rsidP="0080221D">
      <w:pPr>
        <w:spacing w:before="80" w:after="80" w:line="360" w:lineRule="auto"/>
        <w:jc w:val="both"/>
        <w:rPr>
          <w:rFonts w:ascii="Times New Roman" w:hAnsi="Times New Roman" w:cs="Times New Roman"/>
          <w:sz w:val="24"/>
          <w:szCs w:val="24"/>
        </w:rPr>
      </w:pPr>
    </w:p>
    <w:p w14:paraId="1252F999"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4.2 Enterprise Value and Equity Value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tblGrid>
      <w:tr w:rsidR="005D6592" w:rsidRPr="0080221D" w14:paraId="6A631804" w14:textId="77777777">
        <w:tc>
          <w:tcPr>
            <w:tcW w:w="4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3E20C7"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Valuation Component</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7C1CA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b/>
                <w:bCs/>
                <w:color w:val="FFFFFF"/>
                <w:sz w:val="24"/>
                <w:szCs w:val="24"/>
              </w:rPr>
              <w:t>INR Crore</w:t>
            </w:r>
          </w:p>
        </w:tc>
      </w:tr>
      <w:tr w:rsidR="005D6592" w:rsidRPr="0080221D" w14:paraId="715AC4A9"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D2EE3"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PV of Forecast Period Cash Flows (FY26-30)</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71CA7B7"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26,897</w:t>
            </w:r>
          </w:p>
        </w:tc>
      </w:tr>
      <w:tr w:rsidR="005D6592" w:rsidRPr="0080221D" w14:paraId="2A6D0919"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7758A"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PV of Terminal Value (Continuing Value)</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4A50992"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24,04,273</w:t>
            </w:r>
          </w:p>
        </w:tc>
      </w:tr>
      <w:tr w:rsidR="005D6592" w:rsidRPr="0080221D" w14:paraId="5A538BEF"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2BC8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Enterprise Value</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8067215"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24,31,170</w:t>
            </w:r>
          </w:p>
        </w:tc>
      </w:tr>
      <w:tr w:rsidR="005D6592" w:rsidRPr="0080221D" w14:paraId="3F3C2838"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2C36C6"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Less: Total Debt</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53E39CD"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(2)</w:t>
            </w:r>
          </w:p>
        </w:tc>
      </w:tr>
      <w:tr w:rsidR="005D6592" w:rsidRPr="0080221D" w14:paraId="584B1C04"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FAF69"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Add: Cash &amp; Equivalents</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D58F20F"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3,696</w:t>
            </w:r>
          </w:p>
        </w:tc>
      </w:tr>
      <w:tr w:rsidR="005D6592" w:rsidRPr="0080221D" w14:paraId="57047B64"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EABE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Equity Value</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A94BC32"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24,34,864</w:t>
            </w:r>
          </w:p>
        </w:tc>
      </w:tr>
      <w:tr w:rsidR="005D6592" w:rsidRPr="0080221D" w14:paraId="66A669B8"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E922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Number of Shares Outstanding (Crore)</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E38DDEB"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53</w:t>
            </w:r>
          </w:p>
        </w:tc>
      </w:tr>
      <w:tr w:rsidR="005D6592" w:rsidRPr="0080221D" w14:paraId="37AADC69"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2A0AC"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Intrinsic Value Per Share (DCF)</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64A9E61"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INR 45,940</w:t>
            </w:r>
          </w:p>
        </w:tc>
      </w:tr>
      <w:tr w:rsidR="005D6592" w:rsidRPr="0080221D" w14:paraId="57FF9D4E"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67493"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Current Market Price (Jan 7, 2023)</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E42E95F"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INR 115.60*</w:t>
            </w:r>
          </w:p>
        </w:tc>
      </w:tr>
      <w:tr w:rsidR="005D6592" w:rsidRPr="0080221D" w14:paraId="512E930C"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2913B"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Upside Potential</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8CA3A63"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~396%</w:t>
            </w:r>
          </w:p>
        </w:tc>
      </w:tr>
      <w:tr w:rsidR="005D6592" w:rsidRPr="0080221D" w14:paraId="4E467619"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C1E36"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Recommendation</w:t>
            </w:r>
          </w:p>
        </w:tc>
        <w:tc>
          <w:tcPr>
            <w:tcW w:w="25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BAFB1D7" w14:textId="77777777" w:rsidR="005D6592" w:rsidRPr="0080221D" w:rsidRDefault="00000000" w:rsidP="0080221D">
            <w:pPr>
              <w:jc w:val="both"/>
              <w:rPr>
                <w:rFonts w:ascii="Times New Roman" w:hAnsi="Times New Roman" w:cs="Times New Roman"/>
                <w:sz w:val="24"/>
                <w:szCs w:val="24"/>
              </w:rPr>
            </w:pPr>
            <w:r w:rsidRPr="0080221D">
              <w:rPr>
                <w:rFonts w:ascii="Times New Roman" w:hAnsi="Times New Roman" w:cs="Times New Roman"/>
                <w:color w:val="000000"/>
                <w:sz w:val="24"/>
                <w:szCs w:val="24"/>
              </w:rPr>
              <w:t>STRONG BUY</w:t>
            </w:r>
          </w:p>
        </w:tc>
      </w:tr>
    </w:tbl>
    <w:p w14:paraId="002D8AB5" w14:textId="77777777" w:rsidR="005D6592" w:rsidRPr="0080221D" w:rsidRDefault="005D6592" w:rsidP="0080221D">
      <w:pPr>
        <w:spacing w:before="80" w:after="80" w:line="360" w:lineRule="auto"/>
        <w:jc w:val="both"/>
        <w:rPr>
          <w:rFonts w:ascii="Times New Roman" w:hAnsi="Times New Roman" w:cs="Times New Roman"/>
          <w:sz w:val="24"/>
          <w:szCs w:val="24"/>
        </w:rPr>
      </w:pPr>
    </w:p>
    <w:p w14:paraId="2BE930CD" w14:textId="77777777" w:rsidR="00916A75" w:rsidRDefault="00000000" w:rsidP="00916A75">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*Note: The current market price of INR 115.60 as used in the model appears to be in adjusted or fractional form. The intrinsic value of INR 45,940 per share compared to the prevailing market price indicates significant undervaluation at the time of analysis.</w:t>
      </w:r>
    </w:p>
    <w:p w14:paraId="572FB233" w14:textId="1448120D" w:rsidR="005D6592" w:rsidRPr="00916A75" w:rsidRDefault="00000000" w:rsidP="00916A75">
      <w:pPr>
        <w:spacing w:before="80" w:after="80" w:line="360" w:lineRule="auto"/>
        <w:jc w:val="both"/>
        <w:rPr>
          <w:rFonts w:ascii="Times New Roman" w:hAnsi="Times New Roman" w:cs="Times New Roman"/>
          <w:b/>
          <w:bCs/>
          <w:sz w:val="24"/>
          <w:szCs w:val="24"/>
        </w:rPr>
      </w:pPr>
      <w:r w:rsidRPr="00916A75">
        <w:rPr>
          <w:rFonts w:ascii="Times New Roman" w:hAnsi="Times New Roman" w:cs="Times New Roman"/>
          <w:b/>
          <w:bCs/>
          <w:sz w:val="24"/>
          <w:szCs w:val="24"/>
        </w:rPr>
        <w:lastRenderedPageBreak/>
        <w:t>5. Sensitivity Analysis</w:t>
      </w:r>
    </w:p>
    <w:p w14:paraId="5BD439D3"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Since the terminal value constitutes a very large portion of the total enterprise value in a perpetuity-based DCF, it is important to test how sensitive the intrinsic value is to changes in the two most critical assumptions: WACC and the perpetuity growth rate. The sensitivity matrix below shows the estimated intrinsic value per share (divided by a scaling factor) under various combinations of these parameters.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1951"/>
        <w:gridCol w:w="1950"/>
        <w:gridCol w:w="1950"/>
        <w:gridCol w:w="1950"/>
      </w:tblGrid>
      <w:tr w:rsidR="005D6592" w:rsidRPr="0080221D" w14:paraId="71A8DDD1" w14:textId="77777777">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BB31A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Growth↓ / WACC→</w:t>
            </w:r>
          </w:p>
        </w:tc>
        <w:tc>
          <w:tcPr>
            <w:tcW w:w="1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6E053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15.68%</w:t>
            </w:r>
          </w:p>
        </w:tc>
        <w:tc>
          <w:tcPr>
            <w:tcW w:w="1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CA74D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16.68%</w:t>
            </w:r>
          </w:p>
        </w:tc>
        <w:tc>
          <w:tcPr>
            <w:tcW w:w="1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F0DA2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17.68%</w:t>
            </w:r>
          </w:p>
        </w:tc>
        <w:tc>
          <w:tcPr>
            <w:tcW w:w="1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EE150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18.68%</w:t>
            </w:r>
          </w:p>
        </w:tc>
      </w:tr>
      <w:tr w:rsidR="005D6592" w:rsidRPr="0080221D" w14:paraId="76C96AD9"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290E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3.0%</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88F245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1,195.7</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1559A"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1,126.4</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4EDB96E"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1,067.6</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F8B8C"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1,017.3</w:t>
            </w:r>
          </w:p>
        </w:tc>
      </w:tr>
      <w:tr w:rsidR="005D6592" w:rsidRPr="0080221D" w14:paraId="10296BD3"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503BD"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4.0%</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93D3BB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1,255.2</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8649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1,175.4</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1A907B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1,108.5</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AF80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1,051.8</w:t>
            </w:r>
          </w:p>
        </w:tc>
      </w:tr>
      <w:tr w:rsidR="005D6592" w:rsidRPr="0080221D" w14:paraId="7D60949A"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A445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5.0%</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ABB6F8E"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1,325.8</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360CA"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1,232.9</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3952D27"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1,156.0</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2101A"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1,091.4</w:t>
            </w:r>
          </w:p>
        </w:tc>
      </w:tr>
      <w:tr w:rsidR="005D6592" w:rsidRPr="0080221D" w14:paraId="168E32CF"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1CC0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6.0%</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A6C508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1,411.0</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592E5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1,301.1</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054AD56"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1,211.5</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A5FE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1,137.3</w:t>
            </w:r>
          </w:p>
        </w:tc>
      </w:tr>
      <w:tr w:rsidR="005D6592" w:rsidRPr="0080221D" w14:paraId="078BC6C4"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FE3CC"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7.02%</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612F69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1,518.2</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A741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1,385.3</w:t>
            </w:r>
          </w:p>
        </w:tc>
        <w:tc>
          <w:tcPr>
            <w:tcW w:w="196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A93840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1,278.9</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C977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1,192.1</w:t>
            </w:r>
          </w:p>
        </w:tc>
      </w:tr>
    </w:tbl>
    <w:p w14:paraId="1854FD76" w14:textId="77777777" w:rsidR="005D6592" w:rsidRPr="0080221D" w:rsidRDefault="005D6592" w:rsidP="0080221D">
      <w:pPr>
        <w:spacing w:before="80" w:after="80" w:line="360" w:lineRule="auto"/>
        <w:jc w:val="both"/>
        <w:rPr>
          <w:rFonts w:ascii="Times New Roman" w:hAnsi="Times New Roman" w:cs="Times New Roman"/>
          <w:sz w:val="24"/>
          <w:szCs w:val="24"/>
        </w:rPr>
      </w:pPr>
    </w:p>
    <w:p w14:paraId="0F8C4A72"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sensitivity analysis confirms that across a wide range of WACC and growth rate combinations, the DCF model consistently suggests the company is substantially undervalued at its then-prevailing market price. Even under the most conservative assumptions, the implied values remain significantly above the market price, reinforcing the STRONG BUY signal.</w:t>
      </w:r>
    </w:p>
    <w:p w14:paraId="61F6B647" w14:textId="2C01E52B" w:rsidR="005D6592" w:rsidRPr="00916A75" w:rsidRDefault="00000000" w:rsidP="00916A75">
      <w:pPr>
        <w:spacing w:line="360" w:lineRule="auto"/>
        <w:jc w:val="both"/>
        <w:rPr>
          <w:rFonts w:ascii="Times New Roman" w:hAnsi="Times New Roman" w:cs="Times New Roman"/>
          <w:b/>
          <w:bCs/>
          <w:sz w:val="24"/>
          <w:szCs w:val="24"/>
        </w:rPr>
      </w:pPr>
      <w:r w:rsidRPr="0080221D">
        <w:rPr>
          <w:rFonts w:ascii="Times New Roman" w:hAnsi="Times New Roman" w:cs="Times New Roman"/>
          <w:sz w:val="24"/>
          <w:szCs w:val="24"/>
        </w:rPr>
        <w:br w:type="page"/>
      </w:r>
      <w:r w:rsidRPr="00916A75">
        <w:rPr>
          <w:rFonts w:ascii="Times New Roman" w:hAnsi="Times New Roman" w:cs="Times New Roman"/>
          <w:b/>
          <w:bCs/>
          <w:sz w:val="24"/>
          <w:szCs w:val="24"/>
        </w:rPr>
        <w:lastRenderedPageBreak/>
        <w:t xml:space="preserve">6. Relative </w:t>
      </w:r>
      <w:proofErr w:type="gramStart"/>
      <w:r w:rsidRPr="00916A75">
        <w:rPr>
          <w:rFonts w:ascii="Times New Roman" w:hAnsi="Times New Roman" w:cs="Times New Roman"/>
          <w:b/>
          <w:bCs/>
          <w:sz w:val="24"/>
          <w:szCs w:val="24"/>
        </w:rPr>
        <w:t>Valuation  Peer</w:t>
      </w:r>
      <w:proofErr w:type="gramEnd"/>
      <w:r w:rsidRPr="00916A75">
        <w:rPr>
          <w:rFonts w:ascii="Times New Roman" w:hAnsi="Times New Roman" w:cs="Times New Roman"/>
          <w:b/>
          <w:bCs/>
          <w:sz w:val="24"/>
          <w:szCs w:val="24"/>
        </w:rPr>
        <w:t xml:space="preserve"> Comparison</w:t>
      </w:r>
    </w:p>
    <w:p w14:paraId="50BBB1E3"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6.1 Peer Group Selection</w:t>
      </w:r>
    </w:p>
    <w:p w14:paraId="4BA4211D"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For relative valuation, four large-cap Indian pharmaceutical companies have been selected as peers: Sun Pharma, Dr. Reddy's Laboratories, Cipla, and Zydus Lifesciences (formerly Cadila Healthcare). These companies represent the top tier of Indian pharma and, while not identical to Divi's in their business models (all of them have branded formulations businesses), they are the most relevant comparables available from a market capitalization and investor perception standpoint.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900"/>
        <w:gridCol w:w="1206"/>
        <w:gridCol w:w="1113"/>
        <w:gridCol w:w="794"/>
        <w:gridCol w:w="1161"/>
        <w:gridCol w:w="1561"/>
        <w:gridCol w:w="1214"/>
      </w:tblGrid>
      <w:tr w:rsidR="005D6592" w:rsidRPr="0080221D" w14:paraId="3A27E943" w14:textId="77777777">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97329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Company</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7CE1FD"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Price</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F668A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Mkt Cap (Cr)</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18811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EV (Cr)</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1C32D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P/E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9D6DE0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EV/Sales</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11C6A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EV/EBITDA</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FDFEE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EV/EBIT</w:t>
            </w:r>
          </w:p>
        </w:tc>
      </w:tr>
      <w:tr w:rsidR="005D6592" w:rsidRPr="0080221D" w14:paraId="60927B18"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C92EC"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Sun Pharma</w:t>
            </w:r>
          </w:p>
        </w:tc>
        <w:tc>
          <w:tcPr>
            <w:tcW w:w="9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10D2A9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₹1,700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6FDC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4,08,000</w:t>
            </w:r>
          </w:p>
        </w:tc>
        <w:tc>
          <w:tcPr>
            <w:tcW w:w="16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FE293DC"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4,10,000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F2D3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37.4x</w:t>
            </w:r>
          </w:p>
        </w:tc>
        <w:tc>
          <w:tcPr>
            <w:tcW w:w="11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286C1E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7.8x</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92E0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26.8x</w:t>
            </w:r>
          </w:p>
        </w:tc>
        <w:tc>
          <w:tcPr>
            <w:tcW w:w="8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EF7B97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34.2x</w:t>
            </w:r>
          </w:p>
        </w:tc>
      </w:tr>
      <w:tr w:rsidR="005D6592" w:rsidRPr="0080221D" w14:paraId="2BA65B6B"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92D6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Dr. Reddy's</w:t>
            </w:r>
          </w:p>
        </w:tc>
        <w:tc>
          <w:tcPr>
            <w:tcW w:w="9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F9F683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₹1,200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6CD3E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99,600</w:t>
            </w:r>
          </w:p>
        </w:tc>
        <w:tc>
          <w:tcPr>
            <w:tcW w:w="16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7091B6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1,00,000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E29C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17.6x</w:t>
            </w:r>
          </w:p>
        </w:tc>
        <w:tc>
          <w:tcPr>
            <w:tcW w:w="11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444559C"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3.1x</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5179D"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10.9x</w:t>
            </w:r>
          </w:p>
        </w:tc>
        <w:tc>
          <w:tcPr>
            <w:tcW w:w="8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EB7C8FD"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15.4x</w:t>
            </w:r>
          </w:p>
        </w:tc>
      </w:tr>
      <w:tr w:rsidR="005D6592" w:rsidRPr="0080221D" w14:paraId="766ED1D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DD29E"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Cipla</w:t>
            </w:r>
          </w:p>
        </w:tc>
        <w:tc>
          <w:tcPr>
            <w:tcW w:w="9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555BA76"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₹1,450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F0A26"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11,70,150</w:t>
            </w:r>
          </w:p>
        </w:tc>
        <w:tc>
          <w:tcPr>
            <w:tcW w:w="16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B95200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1,15,000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9BC26"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22.2x</w:t>
            </w:r>
          </w:p>
        </w:tc>
        <w:tc>
          <w:tcPr>
            <w:tcW w:w="11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1B3EC5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4.2x</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E02EA"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16.1x</w:t>
            </w:r>
          </w:p>
        </w:tc>
        <w:tc>
          <w:tcPr>
            <w:tcW w:w="8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342D83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20.9x</w:t>
            </w:r>
          </w:p>
        </w:tc>
      </w:tr>
      <w:tr w:rsidR="005D6592" w:rsidRPr="0080221D" w14:paraId="6B6008E5"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5D11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Zydus Life</w:t>
            </w:r>
          </w:p>
        </w:tc>
        <w:tc>
          <w:tcPr>
            <w:tcW w:w="9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6E450D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₹900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DA23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9,05,400</w:t>
            </w:r>
          </w:p>
        </w:tc>
        <w:tc>
          <w:tcPr>
            <w:tcW w:w="16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0440F16"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88,000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39E6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19.1x</w:t>
            </w:r>
          </w:p>
        </w:tc>
        <w:tc>
          <w:tcPr>
            <w:tcW w:w="11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BDFAB7B"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3.8x</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26906"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12.5x</w:t>
            </w:r>
          </w:p>
        </w:tc>
        <w:tc>
          <w:tcPr>
            <w:tcW w:w="8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343CEC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16.0x</w:t>
            </w:r>
          </w:p>
        </w:tc>
      </w:tr>
      <w:tr w:rsidR="005D6592" w:rsidRPr="0080221D" w14:paraId="0945B611"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2354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Peer Average</w:t>
            </w:r>
          </w:p>
        </w:tc>
        <w:tc>
          <w:tcPr>
            <w:tcW w:w="9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D02907A" w14:textId="172FEFF2" w:rsidR="005D6592" w:rsidRPr="0080221D" w:rsidRDefault="005D6592" w:rsidP="0080221D">
            <w:pPr>
              <w:spacing w:line="360" w:lineRule="auto"/>
              <w:jc w:val="both"/>
              <w:rPr>
                <w:rFonts w:ascii="Times New Roman" w:hAnsi="Times New Roman" w:cs="Times New Roman"/>
                <w:sz w:val="24"/>
                <w:szCs w:val="24"/>
              </w:rPr>
            </w:pP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D6E30" w14:textId="2514E032" w:rsidR="005D6592" w:rsidRPr="0080221D" w:rsidRDefault="005D6592" w:rsidP="0080221D">
            <w:pPr>
              <w:spacing w:line="360" w:lineRule="auto"/>
              <w:jc w:val="both"/>
              <w:rPr>
                <w:rFonts w:ascii="Times New Roman" w:hAnsi="Times New Roman" w:cs="Times New Roman"/>
                <w:sz w:val="24"/>
                <w:szCs w:val="24"/>
              </w:rPr>
            </w:pPr>
          </w:p>
        </w:tc>
        <w:tc>
          <w:tcPr>
            <w:tcW w:w="16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F29076C" w14:textId="2CE9AA5E" w:rsidR="005D6592" w:rsidRPr="0080221D" w:rsidRDefault="005D6592" w:rsidP="0080221D">
            <w:pPr>
              <w:spacing w:line="360" w:lineRule="auto"/>
              <w:jc w:val="both"/>
              <w:rPr>
                <w:rFonts w:ascii="Times New Roman" w:hAnsi="Times New Roman" w:cs="Times New Roman"/>
                <w:sz w:val="24"/>
                <w:szCs w:val="24"/>
              </w:rPr>
            </w:pP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E87DD"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24.1x</w:t>
            </w:r>
          </w:p>
        </w:tc>
        <w:tc>
          <w:tcPr>
            <w:tcW w:w="11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C7EE3A7"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4.7x</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06A9E"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16.6x</w:t>
            </w:r>
          </w:p>
        </w:tc>
        <w:tc>
          <w:tcPr>
            <w:tcW w:w="8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436E6EC"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21.6x</w:t>
            </w:r>
          </w:p>
        </w:tc>
      </w:tr>
      <w:tr w:rsidR="005D6592" w:rsidRPr="0080221D" w14:paraId="0A55BF0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664D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Peer Median</w:t>
            </w:r>
          </w:p>
        </w:tc>
        <w:tc>
          <w:tcPr>
            <w:tcW w:w="9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D3794ED" w14:textId="1B39A793" w:rsidR="005D6592" w:rsidRPr="0080221D" w:rsidRDefault="005D6592" w:rsidP="0080221D">
            <w:pPr>
              <w:spacing w:line="360" w:lineRule="auto"/>
              <w:jc w:val="both"/>
              <w:rPr>
                <w:rFonts w:ascii="Times New Roman" w:hAnsi="Times New Roman" w:cs="Times New Roman"/>
                <w:sz w:val="24"/>
                <w:szCs w:val="24"/>
              </w:rPr>
            </w:pP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591580" w14:textId="0DDE7A90" w:rsidR="005D6592" w:rsidRPr="0080221D" w:rsidRDefault="005D6592" w:rsidP="0080221D">
            <w:pPr>
              <w:spacing w:line="360" w:lineRule="auto"/>
              <w:jc w:val="both"/>
              <w:rPr>
                <w:rFonts w:ascii="Times New Roman" w:hAnsi="Times New Roman" w:cs="Times New Roman"/>
                <w:sz w:val="24"/>
                <w:szCs w:val="24"/>
              </w:rPr>
            </w:pPr>
          </w:p>
        </w:tc>
        <w:tc>
          <w:tcPr>
            <w:tcW w:w="16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C9A9B54" w14:textId="2B1096B8" w:rsidR="005D6592" w:rsidRPr="0080221D" w:rsidRDefault="005D6592" w:rsidP="0080221D">
            <w:pPr>
              <w:spacing w:line="360" w:lineRule="auto"/>
              <w:jc w:val="both"/>
              <w:rPr>
                <w:rFonts w:ascii="Times New Roman" w:hAnsi="Times New Roman" w:cs="Times New Roman"/>
                <w:sz w:val="24"/>
                <w:szCs w:val="24"/>
              </w:rPr>
            </w:pP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5B876"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20.6x</w:t>
            </w:r>
          </w:p>
        </w:tc>
        <w:tc>
          <w:tcPr>
            <w:tcW w:w="11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7C263A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4.0x</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4EC6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14.3x</w:t>
            </w:r>
          </w:p>
        </w:tc>
        <w:tc>
          <w:tcPr>
            <w:tcW w:w="80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B9D3DB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18.5x</w:t>
            </w:r>
          </w:p>
        </w:tc>
      </w:tr>
    </w:tbl>
    <w:p w14:paraId="168EE4F0" w14:textId="77777777" w:rsidR="005D6592" w:rsidRPr="0080221D" w:rsidRDefault="005D6592" w:rsidP="0080221D">
      <w:pPr>
        <w:spacing w:before="80" w:after="80" w:line="360" w:lineRule="auto"/>
        <w:jc w:val="both"/>
        <w:rPr>
          <w:rFonts w:ascii="Times New Roman" w:hAnsi="Times New Roman" w:cs="Times New Roman"/>
          <w:sz w:val="24"/>
          <w:szCs w:val="24"/>
        </w:rPr>
      </w:pPr>
    </w:p>
    <w:p w14:paraId="02F179CC"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6.2 Valuation Implications from Peers</w:t>
      </w:r>
    </w:p>
    <w:p w14:paraId="04DA39D7" w14:textId="3672D15C"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Relative valuation reinforces the DCF findings. Divi's historically traded at premium multiples to its peers due to its superior margins, debt-free balance sheet, and stronger earnings quality. The peer average P/E of approximately 24x applied to Divi's FY2026 forecasted EPS of INR 105.37 implies a price of approximately INR 2,537 per </w:t>
      </w:r>
      <w:proofErr w:type="gramStart"/>
      <w:r w:rsidRPr="0080221D">
        <w:rPr>
          <w:rFonts w:ascii="Times New Roman" w:hAnsi="Times New Roman" w:cs="Times New Roman"/>
          <w:sz w:val="24"/>
          <w:szCs w:val="24"/>
        </w:rPr>
        <w:t>share  still</w:t>
      </w:r>
      <w:proofErr w:type="gramEnd"/>
      <w:r w:rsidRPr="0080221D">
        <w:rPr>
          <w:rFonts w:ascii="Times New Roman" w:hAnsi="Times New Roman" w:cs="Times New Roman"/>
          <w:sz w:val="24"/>
          <w:szCs w:val="24"/>
        </w:rPr>
        <w:t xml:space="preserve"> significantly above the prevailing market price at the time of analysis. The EV/EBITDA comparison also supports an upward re-rating argument for the stock.</w:t>
      </w:r>
    </w:p>
    <w:p w14:paraId="42E99F76"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lastRenderedPageBreak/>
        <w:t>It is important to note, however, that direct comparisons are imperfect here. Divi's pure-play API focus, higher margins, and completely debt-free status mean it deserves a valuation premium over the average pharma peer. On a like-for-like quality-adjusted basis, the DCF intrinsic value arguably better captures the true worth of the business.</w:t>
      </w:r>
    </w:p>
    <w:p w14:paraId="204E8ACA" w14:textId="5FC15B0A" w:rsidR="005D6592" w:rsidRPr="00916A75" w:rsidRDefault="00000000" w:rsidP="00916A75">
      <w:pPr>
        <w:spacing w:line="360" w:lineRule="auto"/>
        <w:jc w:val="both"/>
        <w:rPr>
          <w:rFonts w:ascii="Times New Roman" w:hAnsi="Times New Roman" w:cs="Times New Roman"/>
          <w:b/>
          <w:bCs/>
          <w:sz w:val="24"/>
          <w:szCs w:val="24"/>
        </w:rPr>
      </w:pPr>
      <w:r w:rsidRPr="0080221D">
        <w:rPr>
          <w:rFonts w:ascii="Times New Roman" w:hAnsi="Times New Roman" w:cs="Times New Roman"/>
          <w:sz w:val="24"/>
          <w:szCs w:val="24"/>
        </w:rPr>
        <w:br w:type="page"/>
      </w:r>
      <w:r w:rsidRPr="00916A75">
        <w:rPr>
          <w:rFonts w:ascii="Times New Roman" w:hAnsi="Times New Roman" w:cs="Times New Roman"/>
          <w:b/>
          <w:bCs/>
          <w:sz w:val="24"/>
          <w:szCs w:val="24"/>
        </w:rPr>
        <w:lastRenderedPageBreak/>
        <w:t xml:space="preserve">7. Divi's Key Financial </w:t>
      </w:r>
      <w:proofErr w:type="gramStart"/>
      <w:r w:rsidRPr="00916A75">
        <w:rPr>
          <w:rFonts w:ascii="Times New Roman" w:hAnsi="Times New Roman" w:cs="Times New Roman"/>
          <w:b/>
          <w:bCs/>
          <w:sz w:val="24"/>
          <w:szCs w:val="24"/>
        </w:rPr>
        <w:t>Metrics  Actual</w:t>
      </w:r>
      <w:proofErr w:type="gramEnd"/>
      <w:r w:rsidRPr="00916A75">
        <w:rPr>
          <w:rFonts w:ascii="Times New Roman" w:hAnsi="Times New Roman" w:cs="Times New Roman"/>
          <w:b/>
          <w:bCs/>
          <w:sz w:val="24"/>
          <w:szCs w:val="24"/>
        </w:rPr>
        <w:t xml:space="preserve"> vs. Forecast</w:t>
      </w:r>
    </w:p>
    <w:p w14:paraId="002F2EB8"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7.1 Historical and Projected Financial Summary</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974"/>
        <w:gridCol w:w="974"/>
        <w:gridCol w:w="974"/>
        <w:gridCol w:w="974"/>
        <w:gridCol w:w="974"/>
        <w:gridCol w:w="950"/>
        <w:gridCol w:w="950"/>
        <w:gridCol w:w="920"/>
      </w:tblGrid>
      <w:tr w:rsidR="005D6592" w:rsidRPr="0080221D" w14:paraId="039013EE" w14:textId="77777777" w:rsidTr="00916A75">
        <w:tc>
          <w:tcPr>
            <w:tcW w:w="20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1FF95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Metric (INR Cr.)</w:t>
            </w:r>
          </w:p>
        </w:tc>
        <w:tc>
          <w:tcPr>
            <w:tcW w:w="97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ACACA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FY21A</w:t>
            </w:r>
          </w:p>
        </w:tc>
        <w:tc>
          <w:tcPr>
            <w:tcW w:w="97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67B60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FY22A</w:t>
            </w:r>
          </w:p>
        </w:tc>
        <w:tc>
          <w:tcPr>
            <w:tcW w:w="97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BE984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FY23A</w:t>
            </w:r>
          </w:p>
        </w:tc>
        <w:tc>
          <w:tcPr>
            <w:tcW w:w="97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E40FE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FY24A</w:t>
            </w:r>
          </w:p>
        </w:tc>
        <w:tc>
          <w:tcPr>
            <w:tcW w:w="97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42831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FY25A</w:t>
            </w:r>
          </w:p>
        </w:tc>
        <w:tc>
          <w:tcPr>
            <w:tcW w:w="9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ABF21B"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FY26F</w:t>
            </w:r>
          </w:p>
        </w:tc>
        <w:tc>
          <w:tcPr>
            <w:tcW w:w="9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573CD1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b/>
                <w:bCs/>
                <w:color w:val="FFFFFF"/>
                <w:sz w:val="24"/>
                <w:szCs w:val="24"/>
              </w:rPr>
              <w:t>FY27F</w:t>
            </w:r>
          </w:p>
        </w:tc>
        <w:tc>
          <w:tcPr>
            <w:tcW w:w="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902960" w14:textId="77777777" w:rsidR="005D6592" w:rsidRPr="0080221D" w:rsidRDefault="005D6592" w:rsidP="0080221D">
            <w:pPr>
              <w:spacing w:line="360" w:lineRule="auto"/>
              <w:jc w:val="both"/>
              <w:rPr>
                <w:rFonts w:ascii="Times New Roman" w:hAnsi="Times New Roman" w:cs="Times New Roman"/>
                <w:sz w:val="24"/>
                <w:szCs w:val="24"/>
              </w:rPr>
            </w:pPr>
          </w:p>
        </w:tc>
      </w:tr>
      <w:tr w:rsidR="005D6592" w:rsidRPr="0080221D" w14:paraId="423ED306" w14:textId="77777777" w:rsidTr="00916A75">
        <w:tc>
          <w:tcPr>
            <w:tcW w:w="20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952F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Revenue</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2D004AE"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6,799</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036D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8,880</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D55AA3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7,625</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F8FA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7,665</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4E62587"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9,198</w:t>
            </w:r>
          </w:p>
        </w:tc>
        <w:tc>
          <w:tcPr>
            <w:tcW w:w="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A603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10,233</w:t>
            </w:r>
          </w:p>
        </w:tc>
        <w:tc>
          <w:tcPr>
            <w:tcW w:w="95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68921D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11,384</w:t>
            </w:r>
          </w:p>
        </w:tc>
        <w:tc>
          <w:tcPr>
            <w:tcW w:w="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37651" w14:textId="77777777" w:rsidR="005D6592" w:rsidRPr="0080221D" w:rsidRDefault="005D6592" w:rsidP="0080221D">
            <w:pPr>
              <w:spacing w:line="360" w:lineRule="auto"/>
              <w:jc w:val="both"/>
              <w:rPr>
                <w:rFonts w:ascii="Times New Roman" w:hAnsi="Times New Roman" w:cs="Times New Roman"/>
                <w:sz w:val="24"/>
                <w:szCs w:val="24"/>
              </w:rPr>
            </w:pPr>
          </w:p>
        </w:tc>
      </w:tr>
      <w:tr w:rsidR="005D6592" w:rsidRPr="0080221D" w14:paraId="60357DBC" w14:textId="77777777" w:rsidTr="00916A75">
        <w:tc>
          <w:tcPr>
            <w:tcW w:w="20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25F9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EBITDA</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A8A694B"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5,238</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62DB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7,079</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144027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5,838</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08D2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5,792</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0D3711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7,150</w:t>
            </w:r>
          </w:p>
        </w:tc>
        <w:tc>
          <w:tcPr>
            <w:tcW w:w="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6AFC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7,913</w:t>
            </w:r>
          </w:p>
        </w:tc>
        <w:tc>
          <w:tcPr>
            <w:tcW w:w="95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7B38F6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8,809</w:t>
            </w:r>
          </w:p>
        </w:tc>
        <w:tc>
          <w:tcPr>
            <w:tcW w:w="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188AE" w14:textId="77777777" w:rsidR="005D6592" w:rsidRPr="0080221D" w:rsidRDefault="005D6592" w:rsidP="0080221D">
            <w:pPr>
              <w:spacing w:line="360" w:lineRule="auto"/>
              <w:jc w:val="both"/>
              <w:rPr>
                <w:rFonts w:ascii="Times New Roman" w:hAnsi="Times New Roman" w:cs="Times New Roman"/>
                <w:sz w:val="24"/>
                <w:szCs w:val="24"/>
              </w:rPr>
            </w:pPr>
          </w:p>
        </w:tc>
      </w:tr>
      <w:tr w:rsidR="005D6592" w:rsidRPr="0080221D" w14:paraId="5183C730" w14:textId="77777777" w:rsidTr="00916A75">
        <w:tc>
          <w:tcPr>
            <w:tcW w:w="20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57F5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EBITDA Margin</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5C92477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77.1%</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BFEE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79.7%</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6FE2AD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76.6%</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DAAE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75.6%</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A52605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77.7%</w:t>
            </w:r>
          </w:p>
        </w:tc>
        <w:tc>
          <w:tcPr>
            <w:tcW w:w="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6F68B"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77.3%</w:t>
            </w:r>
          </w:p>
        </w:tc>
        <w:tc>
          <w:tcPr>
            <w:tcW w:w="95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E6D25E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74.8%</w:t>
            </w:r>
          </w:p>
        </w:tc>
        <w:tc>
          <w:tcPr>
            <w:tcW w:w="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344D0" w14:textId="77777777" w:rsidR="005D6592" w:rsidRPr="0080221D" w:rsidRDefault="005D6592" w:rsidP="0080221D">
            <w:pPr>
              <w:spacing w:line="360" w:lineRule="auto"/>
              <w:jc w:val="both"/>
              <w:rPr>
                <w:rFonts w:ascii="Times New Roman" w:hAnsi="Times New Roman" w:cs="Times New Roman"/>
                <w:sz w:val="24"/>
                <w:szCs w:val="24"/>
              </w:rPr>
            </w:pPr>
          </w:p>
        </w:tc>
      </w:tr>
      <w:tr w:rsidR="005D6592" w:rsidRPr="0080221D" w14:paraId="6233B80F" w14:textId="77777777" w:rsidTr="00916A75">
        <w:tc>
          <w:tcPr>
            <w:tcW w:w="20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D5E5E"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Net Income</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F9A258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4,309</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D61D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6,039</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BBE38E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4,948</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92B8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4,856</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E2732B5"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6,027</w:t>
            </w:r>
          </w:p>
        </w:tc>
        <w:tc>
          <w:tcPr>
            <w:tcW w:w="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115BB"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5,585</w:t>
            </w:r>
          </w:p>
        </w:tc>
        <w:tc>
          <w:tcPr>
            <w:tcW w:w="95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03B87D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6,220</w:t>
            </w:r>
          </w:p>
        </w:tc>
        <w:tc>
          <w:tcPr>
            <w:tcW w:w="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63173" w14:textId="77777777" w:rsidR="005D6592" w:rsidRPr="0080221D" w:rsidRDefault="005D6592" w:rsidP="0080221D">
            <w:pPr>
              <w:spacing w:line="360" w:lineRule="auto"/>
              <w:jc w:val="both"/>
              <w:rPr>
                <w:rFonts w:ascii="Times New Roman" w:hAnsi="Times New Roman" w:cs="Times New Roman"/>
                <w:sz w:val="24"/>
                <w:szCs w:val="24"/>
              </w:rPr>
            </w:pPr>
          </w:p>
        </w:tc>
      </w:tr>
      <w:tr w:rsidR="005D6592" w:rsidRPr="0080221D" w14:paraId="31137EEB" w14:textId="77777777" w:rsidTr="00916A75">
        <w:tc>
          <w:tcPr>
            <w:tcW w:w="20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8F0E7"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EPS (INR)</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EAEBA3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81.2</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9AF6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113.7</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A3B1F2A"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93.4</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78E2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91.6</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7D85970E"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113.7</w:t>
            </w:r>
          </w:p>
        </w:tc>
        <w:tc>
          <w:tcPr>
            <w:tcW w:w="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0DE1D"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105.4</w:t>
            </w:r>
          </w:p>
        </w:tc>
        <w:tc>
          <w:tcPr>
            <w:tcW w:w="95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155B2EA"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117.4</w:t>
            </w:r>
          </w:p>
        </w:tc>
        <w:tc>
          <w:tcPr>
            <w:tcW w:w="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D6D36" w14:textId="77777777" w:rsidR="005D6592" w:rsidRPr="0080221D" w:rsidRDefault="005D6592" w:rsidP="0080221D">
            <w:pPr>
              <w:spacing w:line="360" w:lineRule="auto"/>
              <w:jc w:val="both"/>
              <w:rPr>
                <w:rFonts w:ascii="Times New Roman" w:hAnsi="Times New Roman" w:cs="Times New Roman"/>
                <w:sz w:val="24"/>
                <w:szCs w:val="24"/>
              </w:rPr>
            </w:pPr>
          </w:p>
        </w:tc>
      </w:tr>
      <w:tr w:rsidR="005D6592" w:rsidRPr="0080221D" w14:paraId="3C05CD9E" w14:textId="77777777" w:rsidTr="00916A75">
        <w:tc>
          <w:tcPr>
            <w:tcW w:w="20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8DB8E"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ROE (%)</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D0BBCCB"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46.5%</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661E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51.6%</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AF7CB6B"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38.9%</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3872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36.0%</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CA60292"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40.5%</w:t>
            </w:r>
          </w:p>
        </w:tc>
        <w:tc>
          <w:tcPr>
            <w:tcW w:w="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BD757A"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27.3%</w:t>
            </w:r>
          </w:p>
        </w:tc>
        <w:tc>
          <w:tcPr>
            <w:tcW w:w="95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A50AC6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23.3%</w:t>
            </w:r>
          </w:p>
        </w:tc>
        <w:tc>
          <w:tcPr>
            <w:tcW w:w="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1BDAA" w14:textId="77777777" w:rsidR="005D6592" w:rsidRPr="0080221D" w:rsidRDefault="005D6592" w:rsidP="0080221D">
            <w:pPr>
              <w:spacing w:line="360" w:lineRule="auto"/>
              <w:jc w:val="both"/>
              <w:rPr>
                <w:rFonts w:ascii="Times New Roman" w:hAnsi="Times New Roman" w:cs="Times New Roman"/>
                <w:sz w:val="24"/>
                <w:szCs w:val="24"/>
              </w:rPr>
            </w:pPr>
          </w:p>
        </w:tc>
      </w:tr>
      <w:tr w:rsidR="005D6592" w:rsidRPr="0080221D" w14:paraId="00F221BE" w14:textId="77777777" w:rsidTr="00916A75">
        <w:tc>
          <w:tcPr>
            <w:tcW w:w="20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DFC57"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ROCE (%)</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EB67C8F"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N/A</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54373"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N/A</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05899A4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N/A</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F4C5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44.2%</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194F625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50.1%</w:t>
            </w:r>
          </w:p>
        </w:tc>
        <w:tc>
          <w:tcPr>
            <w:tcW w:w="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C962C"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39.5%</w:t>
            </w:r>
          </w:p>
        </w:tc>
        <w:tc>
          <w:tcPr>
            <w:tcW w:w="95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6799E56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33.3%</w:t>
            </w:r>
          </w:p>
        </w:tc>
        <w:tc>
          <w:tcPr>
            <w:tcW w:w="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2B54E" w14:textId="77777777" w:rsidR="005D6592" w:rsidRPr="0080221D" w:rsidRDefault="005D6592" w:rsidP="0080221D">
            <w:pPr>
              <w:spacing w:line="360" w:lineRule="auto"/>
              <w:jc w:val="both"/>
              <w:rPr>
                <w:rFonts w:ascii="Times New Roman" w:hAnsi="Times New Roman" w:cs="Times New Roman"/>
                <w:sz w:val="24"/>
                <w:szCs w:val="24"/>
              </w:rPr>
            </w:pPr>
          </w:p>
        </w:tc>
      </w:tr>
      <w:tr w:rsidR="005D6592" w:rsidRPr="0080221D" w14:paraId="398AEC22" w14:textId="77777777" w:rsidTr="00916A75">
        <w:tc>
          <w:tcPr>
            <w:tcW w:w="20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53689"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Total Debt (INR Cr.)</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370A0EAC"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0.35</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E1A6D1"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0</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46C95A98"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0</w:t>
            </w:r>
          </w:p>
        </w:tc>
        <w:tc>
          <w:tcPr>
            <w:tcW w:w="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55BAD"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0</w:t>
            </w:r>
          </w:p>
        </w:tc>
        <w:tc>
          <w:tcPr>
            <w:tcW w:w="974"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3BAC940"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w:t>
            </w:r>
          </w:p>
        </w:tc>
        <w:tc>
          <w:tcPr>
            <w:tcW w:w="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76814"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w:t>
            </w:r>
          </w:p>
        </w:tc>
        <w:tc>
          <w:tcPr>
            <w:tcW w:w="950" w:type="dxa"/>
            <w:tcBorders>
              <w:top w:val="single" w:sz="1" w:space="0" w:color="AAAAAA"/>
              <w:left w:val="single" w:sz="1" w:space="0" w:color="AAAAAA"/>
              <w:bottom w:val="single" w:sz="1" w:space="0" w:color="AAAAAA"/>
              <w:right w:val="single" w:sz="1" w:space="0" w:color="AAAAAA"/>
            </w:tcBorders>
            <w:shd w:val="clear" w:color="auto" w:fill="EEF3F9"/>
            <w:tcMar>
              <w:top w:w="80" w:type="dxa"/>
              <w:left w:w="120" w:type="dxa"/>
              <w:bottom w:w="80" w:type="dxa"/>
              <w:right w:w="120" w:type="dxa"/>
            </w:tcMar>
          </w:tcPr>
          <w:p w14:paraId="2FF09A36" w14:textId="77777777" w:rsidR="005D6592" w:rsidRPr="0080221D" w:rsidRDefault="00000000" w:rsidP="0080221D">
            <w:pPr>
              <w:spacing w:line="360" w:lineRule="auto"/>
              <w:jc w:val="both"/>
              <w:rPr>
                <w:rFonts w:ascii="Times New Roman" w:hAnsi="Times New Roman" w:cs="Times New Roman"/>
                <w:sz w:val="24"/>
                <w:szCs w:val="24"/>
              </w:rPr>
            </w:pPr>
            <w:r w:rsidRPr="0080221D">
              <w:rPr>
                <w:rFonts w:ascii="Times New Roman" w:hAnsi="Times New Roman" w:cs="Times New Roman"/>
                <w:color w:val="000000"/>
                <w:sz w:val="24"/>
                <w:szCs w:val="24"/>
              </w:rPr>
              <w:t>2</w:t>
            </w:r>
          </w:p>
        </w:tc>
        <w:tc>
          <w:tcPr>
            <w:tcW w:w="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8E661" w14:textId="77777777" w:rsidR="005D6592" w:rsidRPr="0080221D" w:rsidRDefault="005D6592" w:rsidP="0080221D">
            <w:pPr>
              <w:spacing w:line="360" w:lineRule="auto"/>
              <w:jc w:val="both"/>
              <w:rPr>
                <w:rFonts w:ascii="Times New Roman" w:hAnsi="Times New Roman" w:cs="Times New Roman"/>
                <w:sz w:val="24"/>
                <w:szCs w:val="24"/>
              </w:rPr>
            </w:pPr>
          </w:p>
        </w:tc>
      </w:tr>
    </w:tbl>
    <w:p w14:paraId="6BAC4CCA"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above table captures the fundamental quality of Divi's as an investment. A company maintaining 40-50% ROE, over 75% EBITDA margins, and essentially zero debt across multiple business cycles is a genuinely rare find in any market, let alone in an emerging market context. The forecasted moderation in ROE is simply a mathematical consequence of a growing equity base (driven by retained earnings), not a deterioration in the underlying business quality.</w:t>
      </w:r>
    </w:p>
    <w:p w14:paraId="4C0AE39C"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7.2 Working Capital and Cash Flow Quality</w:t>
      </w:r>
    </w:p>
    <w:p w14:paraId="7148546F" w14:textId="503E094E"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cash flow from operations has been consistently strong. In FY2025, Divi's generated a net cash flow from operations of approximately INR 5,666 crore, comfortably covering its CAPEX requirements and leaving significant free cash flow available. The company's CAPEX as a percentage of revenue has averaged around 9-11% over the forecast period, which is reasonable for an API manufacturer investing in capacity expansion.</w:t>
      </w:r>
      <w:r w:rsidR="00916A75">
        <w:rPr>
          <w:rFonts w:ascii="Times New Roman" w:hAnsi="Times New Roman" w:cs="Times New Roman"/>
          <w:sz w:val="24"/>
          <w:szCs w:val="24"/>
        </w:rPr>
        <w:t xml:space="preserve"> </w:t>
      </w:r>
      <w:r w:rsidRPr="0080221D">
        <w:rPr>
          <w:rFonts w:ascii="Times New Roman" w:hAnsi="Times New Roman" w:cs="Times New Roman"/>
          <w:sz w:val="24"/>
          <w:szCs w:val="24"/>
        </w:rPr>
        <w:t xml:space="preserve">Inventory days are notably high at around 1,400-1,500 days. This is a sector characteristic rather than a company-specific </w:t>
      </w:r>
      <w:proofErr w:type="gramStart"/>
      <w:r w:rsidRPr="0080221D">
        <w:rPr>
          <w:rFonts w:ascii="Times New Roman" w:hAnsi="Times New Roman" w:cs="Times New Roman"/>
          <w:sz w:val="24"/>
          <w:szCs w:val="24"/>
        </w:rPr>
        <w:t>weakness  pharmaceutical</w:t>
      </w:r>
      <w:proofErr w:type="gramEnd"/>
      <w:r w:rsidRPr="0080221D">
        <w:rPr>
          <w:rFonts w:ascii="Times New Roman" w:hAnsi="Times New Roman" w:cs="Times New Roman"/>
          <w:sz w:val="24"/>
          <w:szCs w:val="24"/>
        </w:rPr>
        <w:t xml:space="preserve"> raw materials and work-in-progress inventories tend to be held for extended periods due to regulatory and quality requirements. Debtor days have been in the range of 100-115 days, which is also normal for a B2B pharmaceutical supplier that deals with large institutional buyers on extended credit terms.</w:t>
      </w:r>
    </w:p>
    <w:p w14:paraId="5D492B9A" w14:textId="749901A1" w:rsidR="005D6592" w:rsidRPr="00942339" w:rsidRDefault="00000000" w:rsidP="00942339">
      <w:pPr>
        <w:spacing w:line="360" w:lineRule="auto"/>
        <w:jc w:val="both"/>
        <w:rPr>
          <w:rFonts w:ascii="Times New Roman" w:hAnsi="Times New Roman" w:cs="Times New Roman"/>
          <w:b/>
          <w:bCs/>
          <w:sz w:val="24"/>
          <w:szCs w:val="24"/>
        </w:rPr>
      </w:pPr>
      <w:r w:rsidRPr="0080221D">
        <w:rPr>
          <w:rFonts w:ascii="Times New Roman" w:hAnsi="Times New Roman" w:cs="Times New Roman"/>
          <w:sz w:val="24"/>
          <w:szCs w:val="24"/>
        </w:rPr>
        <w:br w:type="page"/>
      </w:r>
      <w:r w:rsidRPr="00942339">
        <w:rPr>
          <w:rFonts w:ascii="Times New Roman" w:hAnsi="Times New Roman" w:cs="Times New Roman"/>
          <w:b/>
          <w:bCs/>
          <w:sz w:val="24"/>
          <w:szCs w:val="24"/>
        </w:rPr>
        <w:lastRenderedPageBreak/>
        <w:t>8. Managerial Insights, Risk Factors, and Investment Decision</w:t>
      </w:r>
    </w:p>
    <w:p w14:paraId="5B1A9207"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8.1 Investment Recommendation: Strong Buy</w:t>
      </w:r>
    </w:p>
    <w:p w14:paraId="256103A4"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Based on both the DCF and relative valuation analyses, Divi's Laboratories emerges as a significantly undervalued stock at the valuation date of January 7, 2023. The DCF model, using conservative assumptions, generates an intrinsic value per share that is materially higher than the prevailing market price, implying an upside of approximately 396%. Even accounting for model uncertainty, the margin of safety is large enough to warrant a confident Strong Buy recommendation.</w:t>
      </w:r>
    </w:p>
    <w:p w14:paraId="15D5700A" w14:textId="734BD0AD"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The fundamental case for Divi's rests on three pillars. First, it operates in an industry with strong structural </w:t>
      </w:r>
      <w:proofErr w:type="gramStart"/>
      <w:r w:rsidRPr="0080221D">
        <w:rPr>
          <w:rFonts w:ascii="Times New Roman" w:hAnsi="Times New Roman" w:cs="Times New Roman"/>
          <w:sz w:val="24"/>
          <w:szCs w:val="24"/>
        </w:rPr>
        <w:t>tailwinds  the</w:t>
      </w:r>
      <w:proofErr w:type="gramEnd"/>
      <w:r w:rsidRPr="0080221D">
        <w:rPr>
          <w:rFonts w:ascii="Times New Roman" w:hAnsi="Times New Roman" w:cs="Times New Roman"/>
          <w:sz w:val="24"/>
          <w:szCs w:val="24"/>
        </w:rPr>
        <w:t xml:space="preserve"> global shift of API manufacturing away from China is a multi-decade trend that will benefit Indian producers disproportionately. Second, the company's competitive moat is </w:t>
      </w:r>
      <w:proofErr w:type="gramStart"/>
      <w:r w:rsidRPr="0080221D">
        <w:rPr>
          <w:rFonts w:ascii="Times New Roman" w:hAnsi="Times New Roman" w:cs="Times New Roman"/>
          <w:sz w:val="24"/>
          <w:szCs w:val="24"/>
        </w:rPr>
        <w:t>deep  its</w:t>
      </w:r>
      <w:proofErr w:type="gramEnd"/>
      <w:r w:rsidRPr="0080221D">
        <w:rPr>
          <w:rFonts w:ascii="Times New Roman" w:hAnsi="Times New Roman" w:cs="Times New Roman"/>
          <w:sz w:val="24"/>
          <w:szCs w:val="24"/>
        </w:rPr>
        <w:t xml:space="preserve"> regulatory track record, long-standing customer relationships, and scale are not easily replicated. Third, the balance sheet is fortress-</w:t>
      </w:r>
      <w:proofErr w:type="gramStart"/>
      <w:r w:rsidRPr="0080221D">
        <w:rPr>
          <w:rFonts w:ascii="Times New Roman" w:hAnsi="Times New Roman" w:cs="Times New Roman"/>
          <w:sz w:val="24"/>
          <w:szCs w:val="24"/>
        </w:rPr>
        <w:t>like  zero</w:t>
      </w:r>
      <w:proofErr w:type="gramEnd"/>
      <w:r w:rsidRPr="0080221D">
        <w:rPr>
          <w:rFonts w:ascii="Times New Roman" w:hAnsi="Times New Roman" w:cs="Times New Roman"/>
          <w:sz w:val="24"/>
          <w:szCs w:val="24"/>
        </w:rPr>
        <w:t xml:space="preserve"> meaningful debt, strong cash generation, and a high-return business model provide significant financial stability.</w:t>
      </w:r>
    </w:p>
    <w:p w14:paraId="3837F1B8"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8.2 Key Risks</w:t>
      </w:r>
    </w:p>
    <w:p w14:paraId="554101A0" w14:textId="3E917F13"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Any investment carries risks, and Divi's is no exception. The most significant risk is </w:t>
      </w:r>
      <w:proofErr w:type="gramStart"/>
      <w:r w:rsidRPr="0080221D">
        <w:rPr>
          <w:rFonts w:ascii="Times New Roman" w:hAnsi="Times New Roman" w:cs="Times New Roman"/>
          <w:sz w:val="24"/>
          <w:szCs w:val="24"/>
        </w:rPr>
        <w:t>regulatory  an</w:t>
      </w:r>
      <w:proofErr w:type="gramEnd"/>
      <w:r w:rsidRPr="0080221D">
        <w:rPr>
          <w:rFonts w:ascii="Times New Roman" w:hAnsi="Times New Roman" w:cs="Times New Roman"/>
          <w:sz w:val="24"/>
          <w:szCs w:val="24"/>
        </w:rPr>
        <w:t xml:space="preserve"> adverse observation from the US FDA or another major drug regulator could lead to import alerts that would significantly impair revenues from that geography. This has happened to other Indian pharma companies in the past and is always a possibility for Divi's.</w:t>
      </w:r>
    </w:p>
    <w:p w14:paraId="39E8328A" w14:textId="6EC4CA0D"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Raw material price volatility is another concern. A significant portion of key starting materials are sourced from China, and any supply disruption or price spike in the Chinese chemicals market can squeeze margins. Currency risk is present as </w:t>
      </w:r>
      <w:proofErr w:type="gramStart"/>
      <w:r w:rsidRPr="0080221D">
        <w:rPr>
          <w:rFonts w:ascii="Times New Roman" w:hAnsi="Times New Roman" w:cs="Times New Roman"/>
          <w:sz w:val="24"/>
          <w:szCs w:val="24"/>
        </w:rPr>
        <w:t>well  while</w:t>
      </w:r>
      <w:proofErr w:type="gramEnd"/>
      <w:r w:rsidRPr="0080221D">
        <w:rPr>
          <w:rFonts w:ascii="Times New Roman" w:hAnsi="Times New Roman" w:cs="Times New Roman"/>
          <w:sz w:val="24"/>
          <w:szCs w:val="24"/>
        </w:rPr>
        <w:t xml:space="preserve"> a weaker rupee generally benefits exporters, sudden appreciation can compress margins.</w:t>
      </w:r>
    </w:p>
    <w:p w14:paraId="1BE7A2B0"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Finally, concentration risk is worth flagging. The Custom Synthesis segment, while high-margin, is dependent on a relatively small number of large multinational clients. The loss of even one major client could have a meaningful impact on revenue.</w:t>
      </w:r>
    </w:p>
    <w:p w14:paraId="20590983" w14:textId="77777777" w:rsidR="005D6592" w:rsidRPr="0080221D" w:rsidRDefault="00000000" w:rsidP="0080221D">
      <w:pPr>
        <w:pStyle w:val="Heading2"/>
        <w:spacing w:line="360" w:lineRule="auto"/>
        <w:jc w:val="both"/>
        <w:rPr>
          <w:rFonts w:ascii="Times New Roman" w:hAnsi="Times New Roman" w:cs="Times New Roman"/>
        </w:rPr>
      </w:pPr>
      <w:r w:rsidRPr="0080221D">
        <w:rPr>
          <w:rFonts w:ascii="Times New Roman" w:hAnsi="Times New Roman" w:cs="Times New Roman"/>
        </w:rPr>
        <w:t>8.3 Hold vs. Sell Considerations</w:t>
      </w:r>
    </w:p>
    <w:p w14:paraId="12CEBCAF" w14:textId="0E883FE0"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A Hold would be appropriate for an investor who already owns the stock at a much higher price and is waiting for a re-rating, or for someone who requires a shorter investment horizon than the 3-5 years needed for the DCF thesis to play out. A Sell would only be warranted in scenarios of severe regulatory action or a dramatic deterioration in the global API demand </w:t>
      </w:r>
      <w:proofErr w:type="gramStart"/>
      <w:r w:rsidRPr="0080221D">
        <w:rPr>
          <w:rFonts w:ascii="Times New Roman" w:hAnsi="Times New Roman" w:cs="Times New Roman"/>
          <w:sz w:val="24"/>
          <w:szCs w:val="24"/>
        </w:rPr>
        <w:t>environment  neither</w:t>
      </w:r>
      <w:proofErr w:type="gramEnd"/>
      <w:r w:rsidRPr="0080221D">
        <w:rPr>
          <w:rFonts w:ascii="Times New Roman" w:hAnsi="Times New Roman" w:cs="Times New Roman"/>
          <w:sz w:val="24"/>
          <w:szCs w:val="24"/>
        </w:rPr>
        <w:t xml:space="preserve"> of which is the base case here.</w:t>
      </w:r>
    </w:p>
    <w:p w14:paraId="6C8C2AB5" w14:textId="2CE07A3F" w:rsidR="005D6592" w:rsidRPr="00942339" w:rsidRDefault="00000000" w:rsidP="00942339">
      <w:pPr>
        <w:spacing w:line="360" w:lineRule="auto"/>
        <w:jc w:val="both"/>
        <w:rPr>
          <w:rFonts w:ascii="Times New Roman" w:hAnsi="Times New Roman" w:cs="Times New Roman"/>
          <w:b/>
          <w:bCs/>
          <w:sz w:val="24"/>
          <w:szCs w:val="24"/>
        </w:rPr>
      </w:pPr>
      <w:r w:rsidRPr="0080221D">
        <w:rPr>
          <w:rFonts w:ascii="Times New Roman" w:hAnsi="Times New Roman" w:cs="Times New Roman"/>
          <w:sz w:val="24"/>
          <w:szCs w:val="24"/>
        </w:rPr>
        <w:br w:type="page"/>
      </w:r>
      <w:r w:rsidRPr="00942339">
        <w:rPr>
          <w:rFonts w:ascii="Times New Roman" w:hAnsi="Times New Roman" w:cs="Times New Roman"/>
          <w:b/>
          <w:bCs/>
          <w:sz w:val="24"/>
          <w:szCs w:val="24"/>
        </w:rPr>
        <w:lastRenderedPageBreak/>
        <w:t>9. Reflective Learning</w:t>
      </w:r>
    </w:p>
    <w:p w14:paraId="584F439C" w14:textId="1C071E43"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This valuation exercise has been a deeply instructive experience, particularly in understanding the interplay between quantitative models and qualitative judgment. The most challenging aspect was not the mechanics of the DCF itself, but rather the selection and justification of key </w:t>
      </w:r>
      <w:proofErr w:type="gramStart"/>
      <w:r w:rsidRPr="0080221D">
        <w:rPr>
          <w:rFonts w:ascii="Times New Roman" w:hAnsi="Times New Roman" w:cs="Times New Roman"/>
          <w:sz w:val="24"/>
          <w:szCs w:val="24"/>
        </w:rPr>
        <w:t>assumptions  particularly</w:t>
      </w:r>
      <w:proofErr w:type="gramEnd"/>
      <w:r w:rsidRPr="0080221D">
        <w:rPr>
          <w:rFonts w:ascii="Times New Roman" w:hAnsi="Times New Roman" w:cs="Times New Roman"/>
          <w:sz w:val="24"/>
          <w:szCs w:val="24"/>
        </w:rPr>
        <w:t xml:space="preserve"> the revenue growth rate and the terminal growth rate.</w:t>
      </w:r>
    </w:p>
    <w:p w14:paraId="73E19A33" w14:textId="5820B86B"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Working through the beta calculation using actual daily price data for Divi's and the BSE Sensex reinforced the theoretical understanding that beta is not just a textbook concept but a number with real implications for how we value a business. Divi's low beta of 0.27 was somewhat surprising at first, but it makes logical sense upon </w:t>
      </w:r>
      <w:proofErr w:type="gramStart"/>
      <w:r w:rsidRPr="0080221D">
        <w:rPr>
          <w:rFonts w:ascii="Times New Roman" w:hAnsi="Times New Roman" w:cs="Times New Roman"/>
          <w:sz w:val="24"/>
          <w:szCs w:val="24"/>
        </w:rPr>
        <w:t>reflection  its</w:t>
      </w:r>
      <w:proofErr w:type="gramEnd"/>
      <w:r w:rsidRPr="0080221D">
        <w:rPr>
          <w:rFonts w:ascii="Times New Roman" w:hAnsi="Times New Roman" w:cs="Times New Roman"/>
          <w:sz w:val="24"/>
          <w:szCs w:val="24"/>
        </w:rPr>
        <w:t xml:space="preserve"> customers are global pharmaceutical companies that are themselves defensive in nature, creating a downstream stability effect.</w:t>
      </w:r>
    </w:p>
    <w:p w14:paraId="30E59143"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WACC calculation also raised an interesting ethical and analytical question: when the terminal growth rate is so close to the WACC, the terminal value dominates the enterprise value. This makes the DCF extremely sensitive to the spread between these two variables. In such situations, it is important to be transparent about this limitation and to cross-validate with market multiples, which is exactly why the relative valuation section was included.</w:t>
      </w:r>
    </w:p>
    <w:p w14:paraId="72027F31" w14:textId="7A4FD708"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From an ethical standpoint, this exercise highlighted the responsibility that comes with equity research. A buy recommendation is not a neutral </w:t>
      </w:r>
      <w:proofErr w:type="gramStart"/>
      <w:r w:rsidRPr="0080221D">
        <w:rPr>
          <w:rFonts w:ascii="Times New Roman" w:hAnsi="Times New Roman" w:cs="Times New Roman"/>
          <w:sz w:val="24"/>
          <w:szCs w:val="24"/>
        </w:rPr>
        <w:t>act  it</w:t>
      </w:r>
      <w:proofErr w:type="gramEnd"/>
      <w:r w:rsidRPr="0080221D">
        <w:rPr>
          <w:rFonts w:ascii="Times New Roman" w:hAnsi="Times New Roman" w:cs="Times New Roman"/>
          <w:sz w:val="24"/>
          <w:szCs w:val="24"/>
        </w:rPr>
        <w:t xml:space="preserve"> influences capital allocation decisions. Using the most defensible data sources (</w:t>
      </w:r>
      <w:proofErr w:type="spellStart"/>
      <w:r w:rsidRPr="0080221D">
        <w:rPr>
          <w:rFonts w:ascii="Times New Roman" w:hAnsi="Times New Roman" w:cs="Times New Roman"/>
          <w:sz w:val="24"/>
          <w:szCs w:val="24"/>
        </w:rPr>
        <w:t>Capitaline</w:t>
      </w:r>
      <w:proofErr w:type="spellEnd"/>
      <w:r w:rsidRPr="0080221D">
        <w:rPr>
          <w:rFonts w:ascii="Times New Roman" w:hAnsi="Times New Roman" w:cs="Times New Roman"/>
          <w:sz w:val="24"/>
          <w:szCs w:val="24"/>
        </w:rPr>
        <w:t xml:space="preserve"> database, annual reports, government bond yields, World Bank GDP data) and being explicit about assumptions rather than reverse-engineering numbers to reach a desired conclusion is not just good practice, it is an ethical obligation.</w:t>
      </w:r>
    </w:p>
    <w:p w14:paraId="64D6826B" w14:textId="63F938E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 xml:space="preserve">If this exercise were to be repeated, one improvement would be to more rigorously model the scenario </w:t>
      </w:r>
      <w:proofErr w:type="gramStart"/>
      <w:r w:rsidRPr="0080221D">
        <w:rPr>
          <w:rFonts w:ascii="Times New Roman" w:hAnsi="Times New Roman" w:cs="Times New Roman"/>
          <w:sz w:val="24"/>
          <w:szCs w:val="24"/>
        </w:rPr>
        <w:t>analysis  specifically</w:t>
      </w:r>
      <w:proofErr w:type="gramEnd"/>
      <w:r w:rsidRPr="0080221D">
        <w:rPr>
          <w:rFonts w:ascii="Times New Roman" w:hAnsi="Times New Roman" w:cs="Times New Roman"/>
          <w:sz w:val="24"/>
          <w:szCs w:val="24"/>
        </w:rPr>
        <w:t xml:space="preserve">, assigning probabilities to the optimistic, base case, and </w:t>
      </w:r>
      <w:proofErr w:type="gramStart"/>
      <w:r w:rsidRPr="0080221D">
        <w:rPr>
          <w:rFonts w:ascii="Times New Roman" w:hAnsi="Times New Roman" w:cs="Times New Roman"/>
          <w:sz w:val="24"/>
          <w:szCs w:val="24"/>
        </w:rPr>
        <w:t>worst case</w:t>
      </w:r>
      <w:proofErr w:type="gramEnd"/>
      <w:r w:rsidRPr="0080221D">
        <w:rPr>
          <w:rFonts w:ascii="Times New Roman" w:hAnsi="Times New Roman" w:cs="Times New Roman"/>
          <w:sz w:val="24"/>
          <w:szCs w:val="24"/>
        </w:rPr>
        <w:t xml:space="preserve"> scenarios to generate a probability-weighted intrinsic value. This would provide a more nuanced picture of the risk-return </w:t>
      </w:r>
      <w:proofErr w:type="spellStart"/>
      <w:r w:rsidRPr="0080221D">
        <w:rPr>
          <w:rFonts w:ascii="Times New Roman" w:hAnsi="Times New Roman" w:cs="Times New Roman"/>
          <w:sz w:val="24"/>
          <w:szCs w:val="24"/>
        </w:rPr>
        <w:t>tradeoff</w:t>
      </w:r>
      <w:proofErr w:type="spellEnd"/>
      <w:r w:rsidRPr="0080221D">
        <w:rPr>
          <w:rFonts w:ascii="Times New Roman" w:hAnsi="Times New Roman" w:cs="Times New Roman"/>
          <w:sz w:val="24"/>
          <w:szCs w:val="24"/>
        </w:rPr>
        <w:t xml:space="preserve"> rather than simply presenting three separate point estimates.</w:t>
      </w:r>
    </w:p>
    <w:p w14:paraId="4B0A9093" w14:textId="3ABE86FF" w:rsidR="005D6592" w:rsidRPr="00942339" w:rsidRDefault="00000000" w:rsidP="00942339">
      <w:pPr>
        <w:spacing w:line="360" w:lineRule="auto"/>
        <w:jc w:val="both"/>
        <w:rPr>
          <w:rFonts w:ascii="Times New Roman" w:hAnsi="Times New Roman" w:cs="Times New Roman"/>
          <w:b/>
          <w:bCs/>
          <w:sz w:val="24"/>
          <w:szCs w:val="24"/>
        </w:rPr>
      </w:pPr>
      <w:r w:rsidRPr="0080221D">
        <w:rPr>
          <w:rFonts w:ascii="Times New Roman" w:hAnsi="Times New Roman" w:cs="Times New Roman"/>
          <w:sz w:val="24"/>
          <w:szCs w:val="24"/>
        </w:rPr>
        <w:br w:type="page"/>
      </w:r>
      <w:r w:rsidRPr="00942339">
        <w:rPr>
          <w:rFonts w:ascii="Times New Roman" w:hAnsi="Times New Roman" w:cs="Times New Roman"/>
          <w:b/>
          <w:bCs/>
          <w:sz w:val="24"/>
          <w:szCs w:val="24"/>
        </w:rPr>
        <w:lastRenderedPageBreak/>
        <w:t>10. References and Data Sources</w:t>
      </w:r>
    </w:p>
    <w:p w14:paraId="6F594279"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The following data sources were used in the preparation of this report:</w:t>
      </w:r>
    </w:p>
    <w:p w14:paraId="4E580B73" w14:textId="6B08DE71" w:rsidR="005D6592" w:rsidRPr="0080221D" w:rsidRDefault="00000000" w:rsidP="0080221D">
      <w:pPr>
        <w:pStyle w:val="ListParagraph"/>
        <w:numPr>
          <w:ilvl w:val="0"/>
          <w:numId w:val="2"/>
        </w:numPr>
        <w:spacing w:line="360" w:lineRule="auto"/>
        <w:jc w:val="both"/>
        <w:rPr>
          <w:rFonts w:ascii="Times New Roman" w:hAnsi="Times New Roman" w:cs="Times New Roman"/>
          <w:sz w:val="24"/>
          <w:szCs w:val="24"/>
        </w:rPr>
      </w:pPr>
      <w:proofErr w:type="spellStart"/>
      <w:r w:rsidRPr="0080221D">
        <w:rPr>
          <w:rFonts w:ascii="Times New Roman" w:hAnsi="Times New Roman" w:cs="Times New Roman"/>
          <w:sz w:val="24"/>
          <w:szCs w:val="24"/>
        </w:rPr>
        <w:t>Capitaline</w:t>
      </w:r>
      <w:proofErr w:type="spellEnd"/>
      <w:r w:rsidRPr="0080221D">
        <w:rPr>
          <w:rFonts w:ascii="Times New Roman" w:hAnsi="Times New Roman" w:cs="Times New Roman"/>
          <w:sz w:val="24"/>
          <w:szCs w:val="24"/>
        </w:rPr>
        <w:t xml:space="preserve"> </w:t>
      </w:r>
      <w:proofErr w:type="gramStart"/>
      <w:r w:rsidRPr="0080221D">
        <w:rPr>
          <w:rFonts w:ascii="Times New Roman" w:hAnsi="Times New Roman" w:cs="Times New Roman"/>
          <w:sz w:val="24"/>
          <w:szCs w:val="24"/>
        </w:rPr>
        <w:t>Database  Financial</w:t>
      </w:r>
      <w:proofErr w:type="gramEnd"/>
      <w:r w:rsidRPr="0080221D">
        <w:rPr>
          <w:rFonts w:ascii="Times New Roman" w:hAnsi="Times New Roman" w:cs="Times New Roman"/>
          <w:sz w:val="24"/>
          <w:szCs w:val="24"/>
        </w:rPr>
        <w:t xml:space="preserve"> statements of Divi's Laboratories for FY2017 to FY2022 (actual), and peer data</w:t>
      </w:r>
    </w:p>
    <w:p w14:paraId="22BC1F68" w14:textId="4E4A7DCD" w:rsidR="005D6592" w:rsidRPr="0080221D" w:rsidRDefault="00000000" w:rsidP="0080221D">
      <w:pPr>
        <w:pStyle w:val="ListParagraph"/>
        <w:numPr>
          <w:ilvl w:val="0"/>
          <w:numId w:val="2"/>
        </w:numPr>
        <w:spacing w:line="360" w:lineRule="auto"/>
        <w:jc w:val="both"/>
        <w:rPr>
          <w:rFonts w:ascii="Times New Roman" w:hAnsi="Times New Roman" w:cs="Times New Roman"/>
          <w:sz w:val="24"/>
          <w:szCs w:val="24"/>
        </w:rPr>
      </w:pPr>
      <w:r w:rsidRPr="0080221D">
        <w:rPr>
          <w:rFonts w:ascii="Times New Roman" w:hAnsi="Times New Roman" w:cs="Times New Roman"/>
          <w:sz w:val="24"/>
          <w:szCs w:val="24"/>
        </w:rPr>
        <w:t>Divi's Laboratories Annual Report FY</w:t>
      </w:r>
      <w:proofErr w:type="gramStart"/>
      <w:r w:rsidRPr="0080221D">
        <w:rPr>
          <w:rFonts w:ascii="Times New Roman" w:hAnsi="Times New Roman" w:cs="Times New Roman"/>
          <w:sz w:val="24"/>
          <w:szCs w:val="24"/>
        </w:rPr>
        <w:t>2025  Tax</w:t>
      </w:r>
      <w:proofErr w:type="gramEnd"/>
      <w:r w:rsidRPr="0080221D">
        <w:rPr>
          <w:rFonts w:ascii="Times New Roman" w:hAnsi="Times New Roman" w:cs="Times New Roman"/>
          <w:sz w:val="24"/>
          <w:szCs w:val="24"/>
        </w:rPr>
        <w:t xml:space="preserve"> rate assumption (24.6%)</w:t>
      </w:r>
    </w:p>
    <w:p w14:paraId="260DB073" w14:textId="1AC8F8EB" w:rsidR="005D6592" w:rsidRPr="0080221D" w:rsidRDefault="00000000" w:rsidP="0080221D">
      <w:pPr>
        <w:pStyle w:val="ListParagraph"/>
        <w:numPr>
          <w:ilvl w:val="0"/>
          <w:numId w:val="2"/>
        </w:numPr>
        <w:spacing w:line="360" w:lineRule="auto"/>
        <w:jc w:val="both"/>
        <w:rPr>
          <w:rFonts w:ascii="Times New Roman" w:hAnsi="Times New Roman" w:cs="Times New Roman"/>
          <w:sz w:val="24"/>
          <w:szCs w:val="24"/>
        </w:rPr>
      </w:pPr>
      <w:r w:rsidRPr="0080221D">
        <w:rPr>
          <w:rFonts w:ascii="Times New Roman" w:hAnsi="Times New Roman" w:cs="Times New Roman"/>
          <w:sz w:val="24"/>
          <w:szCs w:val="24"/>
        </w:rPr>
        <w:t>BSE India (</w:t>
      </w:r>
      <w:proofErr w:type="gramStart"/>
      <w:r w:rsidRPr="0080221D">
        <w:rPr>
          <w:rFonts w:ascii="Times New Roman" w:hAnsi="Times New Roman" w:cs="Times New Roman"/>
          <w:sz w:val="24"/>
          <w:szCs w:val="24"/>
        </w:rPr>
        <w:t>bseindia.com)  5</w:t>
      </w:r>
      <w:proofErr w:type="gramEnd"/>
      <w:r w:rsidRPr="0080221D">
        <w:rPr>
          <w:rFonts w:ascii="Times New Roman" w:hAnsi="Times New Roman" w:cs="Times New Roman"/>
          <w:sz w:val="24"/>
          <w:szCs w:val="24"/>
        </w:rPr>
        <w:t>-year daily price history for Divi's Laboratories and BSE Sensex for beta calculation</w:t>
      </w:r>
    </w:p>
    <w:p w14:paraId="7636F32E" w14:textId="2B0201E0" w:rsidR="005D6592" w:rsidRPr="0080221D" w:rsidRDefault="00000000" w:rsidP="0080221D">
      <w:pPr>
        <w:pStyle w:val="ListParagraph"/>
        <w:numPr>
          <w:ilvl w:val="0"/>
          <w:numId w:val="2"/>
        </w:numPr>
        <w:spacing w:line="360" w:lineRule="auto"/>
        <w:jc w:val="both"/>
        <w:rPr>
          <w:rFonts w:ascii="Times New Roman" w:hAnsi="Times New Roman" w:cs="Times New Roman"/>
          <w:sz w:val="24"/>
          <w:szCs w:val="24"/>
        </w:rPr>
      </w:pPr>
      <w:r w:rsidRPr="0080221D">
        <w:rPr>
          <w:rFonts w:ascii="Times New Roman" w:hAnsi="Times New Roman" w:cs="Times New Roman"/>
          <w:sz w:val="24"/>
          <w:szCs w:val="24"/>
        </w:rPr>
        <w:t>World Government Bonds (</w:t>
      </w:r>
      <w:proofErr w:type="gramStart"/>
      <w:r w:rsidRPr="0080221D">
        <w:rPr>
          <w:rFonts w:ascii="Times New Roman" w:hAnsi="Times New Roman" w:cs="Times New Roman"/>
          <w:sz w:val="24"/>
          <w:szCs w:val="24"/>
        </w:rPr>
        <w:t>worldgovernmentbonds.com)  10</w:t>
      </w:r>
      <w:proofErr w:type="gramEnd"/>
      <w:r w:rsidRPr="0080221D">
        <w:rPr>
          <w:rFonts w:ascii="Times New Roman" w:hAnsi="Times New Roman" w:cs="Times New Roman"/>
          <w:sz w:val="24"/>
          <w:szCs w:val="24"/>
        </w:rPr>
        <w:t>-year India Government Bond yield (7.129%) as of January 7, 2023</w:t>
      </w:r>
    </w:p>
    <w:p w14:paraId="351C2FE3" w14:textId="070EB230" w:rsidR="005D6592" w:rsidRPr="0080221D" w:rsidRDefault="00000000" w:rsidP="0080221D">
      <w:pPr>
        <w:pStyle w:val="ListParagraph"/>
        <w:numPr>
          <w:ilvl w:val="0"/>
          <w:numId w:val="2"/>
        </w:numPr>
        <w:spacing w:line="360" w:lineRule="auto"/>
        <w:jc w:val="both"/>
        <w:rPr>
          <w:rFonts w:ascii="Times New Roman" w:hAnsi="Times New Roman" w:cs="Times New Roman"/>
          <w:sz w:val="24"/>
          <w:szCs w:val="24"/>
        </w:rPr>
      </w:pPr>
      <w:proofErr w:type="spellStart"/>
      <w:r w:rsidRPr="0080221D">
        <w:rPr>
          <w:rFonts w:ascii="Times New Roman" w:hAnsi="Times New Roman" w:cs="Times New Roman"/>
          <w:sz w:val="24"/>
          <w:szCs w:val="24"/>
        </w:rPr>
        <w:t>Knoema</w:t>
      </w:r>
      <w:proofErr w:type="spellEnd"/>
      <w:r w:rsidRPr="0080221D">
        <w:rPr>
          <w:rFonts w:ascii="Times New Roman" w:hAnsi="Times New Roman" w:cs="Times New Roman"/>
          <w:sz w:val="24"/>
          <w:szCs w:val="24"/>
        </w:rPr>
        <w:t xml:space="preserve"> / </w:t>
      </w:r>
      <w:proofErr w:type="gramStart"/>
      <w:r w:rsidRPr="0080221D">
        <w:rPr>
          <w:rFonts w:ascii="Times New Roman" w:hAnsi="Times New Roman" w:cs="Times New Roman"/>
          <w:sz w:val="24"/>
          <w:szCs w:val="24"/>
        </w:rPr>
        <w:t>Damodaran  Equity</w:t>
      </w:r>
      <w:proofErr w:type="gramEnd"/>
      <w:r w:rsidRPr="0080221D">
        <w:rPr>
          <w:rFonts w:ascii="Times New Roman" w:hAnsi="Times New Roman" w:cs="Times New Roman"/>
          <w:sz w:val="24"/>
          <w:szCs w:val="24"/>
        </w:rPr>
        <w:t xml:space="preserve"> Risk Premium for India (7.08%)</w:t>
      </w:r>
    </w:p>
    <w:p w14:paraId="1565DAD4" w14:textId="59D69DAC" w:rsidR="005D6592" w:rsidRPr="0080221D" w:rsidRDefault="00000000" w:rsidP="0080221D">
      <w:pPr>
        <w:pStyle w:val="ListParagraph"/>
        <w:numPr>
          <w:ilvl w:val="0"/>
          <w:numId w:val="2"/>
        </w:numPr>
        <w:spacing w:line="360" w:lineRule="auto"/>
        <w:jc w:val="both"/>
        <w:rPr>
          <w:rFonts w:ascii="Times New Roman" w:hAnsi="Times New Roman" w:cs="Times New Roman"/>
          <w:sz w:val="24"/>
          <w:szCs w:val="24"/>
        </w:rPr>
      </w:pPr>
      <w:r w:rsidRPr="0080221D">
        <w:rPr>
          <w:rFonts w:ascii="Times New Roman" w:hAnsi="Times New Roman" w:cs="Times New Roman"/>
          <w:sz w:val="24"/>
          <w:szCs w:val="24"/>
        </w:rPr>
        <w:t>World Bank (</w:t>
      </w:r>
      <w:proofErr w:type="gramStart"/>
      <w:r w:rsidRPr="0080221D">
        <w:rPr>
          <w:rFonts w:ascii="Times New Roman" w:hAnsi="Times New Roman" w:cs="Times New Roman"/>
          <w:sz w:val="24"/>
          <w:szCs w:val="24"/>
        </w:rPr>
        <w:t>data.worldbank.org)  India</w:t>
      </w:r>
      <w:proofErr w:type="gramEnd"/>
      <w:r w:rsidRPr="0080221D">
        <w:rPr>
          <w:rFonts w:ascii="Times New Roman" w:hAnsi="Times New Roman" w:cs="Times New Roman"/>
          <w:sz w:val="24"/>
          <w:szCs w:val="24"/>
        </w:rPr>
        <w:t xml:space="preserve"> GDP growth rates FY2020-FY2024 for terminal growth rate derivation</w:t>
      </w:r>
    </w:p>
    <w:p w14:paraId="7F88B5CD" w14:textId="196BBF35" w:rsidR="005D6592" w:rsidRPr="0080221D" w:rsidRDefault="00000000" w:rsidP="0080221D">
      <w:pPr>
        <w:pStyle w:val="ListParagraph"/>
        <w:numPr>
          <w:ilvl w:val="0"/>
          <w:numId w:val="2"/>
        </w:numPr>
        <w:spacing w:line="360" w:lineRule="auto"/>
        <w:jc w:val="both"/>
        <w:rPr>
          <w:rFonts w:ascii="Times New Roman" w:hAnsi="Times New Roman" w:cs="Times New Roman"/>
          <w:sz w:val="24"/>
          <w:szCs w:val="24"/>
        </w:rPr>
      </w:pPr>
      <w:r w:rsidRPr="0080221D">
        <w:rPr>
          <w:rFonts w:ascii="Times New Roman" w:hAnsi="Times New Roman" w:cs="Times New Roman"/>
          <w:sz w:val="24"/>
          <w:szCs w:val="24"/>
        </w:rPr>
        <w:t>IBEF (</w:t>
      </w:r>
      <w:proofErr w:type="gramStart"/>
      <w:r w:rsidRPr="0080221D">
        <w:rPr>
          <w:rFonts w:ascii="Times New Roman" w:hAnsi="Times New Roman" w:cs="Times New Roman"/>
          <w:sz w:val="24"/>
          <w:szCs w:val="24"/>
        </w:rPr>
        <w:t>ibef.org)  India</w:t>
      </w:r>
      <w:proofErr w:type="gramEnd"/>
      <w:r w:rsidRPr="0080221D">
        <w:rPr>
          <w:rFonts w:ascii="Times New Roman" w:hAnsi="Times New Roman" w:cs="Times New Roman"/>
          <w:sz w:val="24"/>
          <w:szCs w:val="24"/>
        </w:rPr>
        <w:t xml:space="preserve"> pharmaceutical and steel sector consumption forecasts</w:t>
      </w:r>
    </w:p>
    <w:p w14:paraId="3AB381EB" w14:textId="5593010F" w:rsidR="005D6592" w:rsidRPr="0080221D" w:rsidRDefault="00000000" w:rsidP="0080221D">
      <w:pPr>
        <w:pStyle w:val="ListParagraph"/>
        <w:numPr>
          <w:ilvl w:val="0"/>
          <w:numId w:val="2"/>
        </w:numPr>
        <w:spacing w:line="360" w:lineRule="auto"/>
        <w:jc w:val="both"/>
        <w:rPr>
          <w:rFonts w:ascii="Times New Roman" w:hAnsi="Times New Roman" w:cs="Times New Roman"/>
          <w:sz w:val="24"/>
          <w:szCs w:val="24"/>
        </w:rPr>
      </w:pPr>
      <w:proofErr w:type="spellStart"/>
      <w:r w:rsidRPr="0080221D">
        <w:rPr>
          <w:rFonts w:ascii="Times New Roman" w:hAnsi="Times New Roman" w:cs="Times New Roman"/>
          <w:sz w:val="24"/>
          <w:szCs w:val="24"/>
        </w:rPr>
        <w:t>Moneycontrol</w:t>
      </w:r>
      <w:proofErr w:type="spellEnd"/>
      <w:r w:rsidRPr="0080221D">
        <w:rPr>
          <w:rFonts w:ascii="Times New Roman" w:hAnsi="Times New Roman" w:cs="Times New Roman"/>
          <w:sz w:val="24"/>
          <w:szCs w:val="24"/>
        </w:rPr>
        <w:t xml:space="preserve"> / Smart </w:t>
      </w:r>
      <w:proofErr w:type="gramStart"/>
      <w:r w:rsidRPr="0080221D">
        <w:rPr>
          <w:rFonts w:ascii="Times New Roman" w:hAnsi="Times New Roman" w:cs="Times New Roman"/>
          <w:sz w:val="24"/>
          <w:szCs w:val="24"/>
        </w:rPr>
        <w:t>Investing  Peer</w:t>
      </w:r>
      <w:proofErr w:type="gramEnd"/>
      <w:r w:rsidRPr="0080221D">
        <w:rPr>
          <w:rFonts w:ascii="Times New Roman" w:hAnsi="Times New Roman" w:cs="Times New Roman"/>
          <w:sz w:val="24"/>
          <w:szCs w:val="24"/>
        </w:rPr>
        <w:t xml:space="preserve"> comparison ratios for Sun Pharma, Dr. Reddy's, Cipla, Zydus</w:t>
      </w:r>
    </w:p>
    <w:p w14:paraId="138BE55F" w14:textId="77777777" w:rsidR="005D6592" w:rsidRPr="0080221D" w:rsidRDefault="005D6592" w:rsidP="0080221D">
      <w:pPr>
        <w:spacing w:before="80" w:after="80" w:line="360" w:lineRule="auto"/>
        <w:jc w:val="both"/>
        <w:rPr>
          <w:rFonts w:ascii="Times New Roman" w:hAnsi="Times New Roman" w:cs="Times New Roman"/>
          <w:sz w:val="24"/>
          <w:szCs w:val="24"/>
        </w:rPr>
      </w:pPr>
    </w:p>
    <w:p w14:paraId="78EB2E8C" w14:textId="77777777" w:rsidR="005D6592" w:rsidRPr="0080221D" w:rsidRDefault="00000000" w:rsidP="0080221D">
      <w:pPr>
        <w:spacing w:before="80" w:after="80" w:line="360" w:lineRule="auto"/>
        <w:jc w:val="both"/>
        <w:rPr>
          <w:rFonts w:ascii="Times New Roman" w:hAnsi="Times New Roman" w:cs="Times New Roman"/>
          <w:sz w:val="24"/>
          <w:szCs w:val="24"/>
        </w:rPr>
      </w:pPr>
      <w:r w:rsidRPr="0080221D">
        <w:rPr>
          <w:rFonts w:ascii="Times New Roman" w:hAnsi="Times New Roman" w:cs="Times New Roman"/>
          <w:sz w:val="24"/>
          <w:szCs w:val="24"/>
        </w:rPr>
        <w:t>All financial calculations, DCF models, WACC computations, sensitivity analyses, and peer comparison tables are maintained in the accompanying Excel annexure file.</w:t>
      </w:r>
    </w:p>
    <w:p w14:paraId="46091D30" w14:textId="3A4DC2BF" w:rsidR="005D6592" w:rsidRDefault="005D6592" w:rsidP="0080221D">
      <w:pPr>
        <w:spacing w:before="200" w:line="360" w:lineRule="auto"/>
        <w:jc w:val="both"/>
        <w:rPr>
          <w:rFonts w:ascii="Times New Roman" w:hAnsi="Times New Roman" w:cs="Times New Roman"/>
          <w:sz w:val="24"/>
          <w:szCs w:val="24"/>
        </w:rPr>
      </w:pPr>
    </w:p>
    <w:p w14:paraId="3AD2F7B1" w14:textId="77777777" w:rsidR="008C1F2B" w:rsidRDefault="008C1F2B" w:rsidP="0080221D">
      <w:pPr>
        <w:spacing w:before="200" w:line="360" w:lineRule="auto"/>
        <w:jc w:val="both"/>
        <w:rPr>
          <w:rFonts w:ascii="Times New Roman" w:hAnsi="Times New Roman" w:cs="Times New Roman"/>
          <w:sz w:val="24"/>
          <w:szCs w:val="24"/>
        </w:rPr>
      </w:pPr>
    </w:p>
    <w:p w14:paraId="0AE3D724" w14:textId="77777777" w:rsidR="008C1F2B" w:rsidRDefault="008C1F2B" w:rsidP="0080221D">
      <w:pPr>
        <w:spacing w:before="200" w:line="360" w:lineRule="auto"/>
        <w:jc w:val="both"/>
        <w:rPr>
          <w:rFonts w:ascii="Times New Roman" w:hAnsi="Times New Roman" w:cs="Times New Roman"/>
          <w:sz w:val="24"/>
          <w:szCs w:val="24"/>
        </w:rPr>
      </w:pPr>
    </w:p>
    <w:p w14:paraId="4B064A37" w14:textId="77777777" w:rsidR="008C1F2B" w:rsidRDefault="008C1F2B" w:rsidP="0080221D">
      <w:pPr>
        <w:spacing w:before="200" w:line="360" w:lineRule="auto"/>
        <w:jc w:val="both"/>
        <w:rPr>
          <w:rFonts w:ascii="Times New Roman" w:hAnsi="Times New Roman" w:cs="Times New Roman"/>
          <w:sz w:val="24"/>
          <w:szCs w:val="24"/>
        </w:rPr>
      </w:pPr>
    </w:p>
    <w:p w14:paraId="57500DC2" w14:textId="77777777" w:rsidR="008C1F2B" w:rsidRDefault="008C1F2B" w:rsidP="0080221D">
      <w:pPr>
        <w:spacing w:before="200" w:line="360" w:lineRule="auto"/>
        <w:jc w:val="both"/>
        <w:rPr>
          <w:rFonts w:ascii="Times New Roman" w:hAnsi="Times New Roman" w:cs="Times New Roman"/>
          <w:sz w:val="24"/>
          <w:szCs w:val="24"/>
        </w:rPr>
      </w:pPr>
    </w:p>
    <w:p w14:paraId="10D6D7AC" w14:textId="77777777" w:rsidR="008C1F2B" w:rsidRDefault="008C1F2B" w:rsidP="0080221D">
      <w:pPr>
        <w:spacing w:before="200" w:line="360" w:lineRule="auto"/>
        <w:jc w:val="both"/>
        <w:rPr>
          <w:rFonts w:ascii="Times New Roman" w:hAnsi="Times New Roman" w:cs="Times New Roman"/>
          <w:sz w:val="24"/>
          <w:szCs w:val="24"/>
        </w:rPr>
      </w:pPr>
    </w:p>
    <w:p w14:paraId="6EFB36F9" w14:textId="77777777" w:rsidR="008C1F2B" w:rsidRDefault="008C1F2B" w:rsidP="0080221D">
      <w:pPr>
        <w:spacing w:before="200" w:line="360" w:lineRule="auto"/>
        <w:jc w:val="both"/>
        <w:rPr>
          <w:rFonts w:ascii="Times New Roman" w:hAnsi="Times New Roman" w:cs="Times New Roman"/>
          <w:sz w:val="24"/>
          <w:szCs w:val="24"/>
        </w:rPr>
      </w:pPr>
    </w:p>
    <w:p w14:paraId="568E508E" w14:textId="77777777" w:rsidR="008C1F2B" w:rsidRDefault="008C1F2B" w:rsidP="0080221D">
      <w:pPr>
        <w:spacing w:before="200" w:line="360" w:lineRule="auto"/>
        <w:jc w:val="both"/>
        <w:rPr>
          <w:rFonts w:ascii="Times New Roman" w:hAnsi="Times New Roman" w:cs="Times New Roman"/>
          <w:sz w:val="24"/>
          <w:szCs w:val="24"/>
        </w:rPr>
      </w:pPr>
    </w:p>
    <w:p w14:paraId="6D218010" w14:textId="62DC8535" w:rsidR="008C1F2B" w:rsidRPr="0080221D" w:rsidRDefault="008C1F2B" w:rsidP="0080221D">
      <w:pPr>
        <w:spacing w:before="200" w:line="360" w:lineRule="auto"/>
        <w:jc w:val="both"/>
        <w:rPr>
          <w:rFonts w:ascii="Times New Roman" w:hAnsi="Times New Roman" w:cs="Times New Roman"/>
          <w:sz w:val="24"/>
          <w:szCs w:val="24"/>
        </w:rPr>
      </w:pPr>
    </w:p>
    <w:sectPr w:rsidR="008C1F2B" w:rsidRPr="0080221D" w:rsidSect="00916A75">
      <w:pgSz w:w="12240" w:h="15840"/>
      <w:pgMar w:top="1080" w:right="1080" w:bottom="1080" w:left="108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17A0"/>
    <w:multiLevelType w:val="hybridMultilevel"/>
    <w:tmpl w:val="0F405B16"/>
    <w:lvl w:ilvl="0" w:tplc="D32E2CD8">
      <w:start w:val="1"/>
      <w:numFmt w:val="bullet"/>
      <w:lvlText w:val="•"/>
      <w:lvlJc w:val="left"/>
      <w:pPr>
        <w:ind w:left="720" w:hanging="360"/>
      </w:pPr>
    </w:lvl>
    <w:lvl w:ilvl="1" w:tplc="CAEC6BEC">
      <w:numFmt w:val="decimal"/>
      <w:lvlText w:val=""/>
      <w:lvlJc w:val="left"/>
    </w:lvl>
    <w:lvl w:ilvl="2" w:tplc="BF5843A0">
      <w:numFmt w:val="decimal"/>
      <w:lvlText w:val=""/>
      <w:lvlJc w:val="left"/>
    </w:lvl>
    <w:lvl w:ilvl="3" w:tplc="A880BD36">
      <w:numFmt w:val="decimal"/>
      <w:lvlText w:val=""/>
      <w:lvlJc w:val="left"/>
    </w:lvl>
    <w:lvl w:ilvl="4" w:tplc="32F8DBB8">
      <w:numFmt w:val="decimal"/>
      <w:lvlText w:val=""/>
      <w:lvlJc w:val="left"/>
    </w:lvl>
    <w:lvl w:ilvl="5" w:tplc="D6C02344">
      <w:numFmt w:val="decimal"/>
      <w:lvlText w:val=""/>
      <w:lvlJc w:val="left"/>
    </w:lvl>
    <w:lvl w:ilvl="6" w:tplc="7318D63C">
      <w:numFmt w:val="decimal"/>
      <w:lvlText w:val=""/>
      <w:lvlJc w:val="left"/>
    </w:lvl>
    <w:lvl w:ilvl="7" w:tplc="3C88C1AC">
      <w:numFmt w:val="decimal"/>
      <w:lvlText w:val=""/>
      <w:lvlJc w:val="left"/>
    </w:lvl>
    <w:lvl w:ilvl="8" w:tplc="7E34FAFC">
      <w:numFmt w:val="decimal"/>
      <w:lvlText w:val=""/>
      <w:lvlJc w:val="left"/>
    </w:lvl>
  </w:abstractNum>
  <w:abstractNum w:abstractNumId="1" w15:restartNumberingAfterBreak="0">
    <w:nsid w:val="3F0C6504"/>
    <w:multiLevelType w:val="hybridMultilevel"/>
    <w:tmpl w:val="93A6B3EA"/>
    <w:lvl w:ilvl="0" w:tplc="8A2C58FA">
      <w:start w:val="1"/>
      <w:numFmt w:val="bullet"/>
      <w:lvlText w:val="●"/>
      <w:lvlJc w:val="left"/>
      <w:pPr>
        <w:ind w:left="720" w:hanging="360"/>
      </w:pPr>
    </w:lvl>
    <w:lvl w:ilvl="1" w:tplc="08C0F940">
      <w:start w:val="1"/>
      <w:numFmt w:val="bullet"/>
      <w:lvlText w:val="○"/>
      <w:lvlJc w:val="left"/>
      <w:pPr>
        <w:ind w:left="1440" w:hanging="360"/>
      </w:pPr>
    </w:lvl>
    <w:lvl w:ilvl="2" w:tplc="BE1CCA88">
      <w:start w:val="1"/>
      <w:numFmt w:val="bullet"/>
      <w:lvlText w:val="■"/>
      <w:lvlJc w:val="left"/>
      <w:pPr>
        <w:ind w:left="2160" w:hanging="360"/>
      </w:pPr>
    </w:lvl>
    <w:lvl w:ilvl="3" w:tplc="49BE8314">
      <w:start w:val="1"/>
      <w:numFmt w:val="bullet"/>
      <w:lvlText w:val="●"/>
      <w:lvlJc w:val="left"/>
      <w:pPr>
        <w:ind w:left="2880" w:hanging="360"/>
      </w:pPr>
    </w:lvl>
    <w:lvl w:ilvl="4" w:tplc="184EB14C">
      <w:start w:val="1"/>
      <w:numFmt w:val="bullet"/>
      <w:lvlText w:val="○"/>
      <w:lvlJc w:val="left"/>
      <w:pPr>
        <w:ind w:left="3600" w:hanging="360"/>
      </w:pPr>
    </w:lvl>
    <w:lvl w:ilvl="5" w:tplc="51465364">
      <w:start w:val="1"/>
      <w:numFmt w:val="bullet"/>
      <w:lvlText w:val="■"/>
      <w:lvlJc w:val="left"/>
      <w:pPr>
        <w:ind w:left="4320" w:hanging="360"/>
      </w:pPr>
    </w:lvl>
    <w:lvl w:ilvl="6" w:tplc="81228A96">
      <w:start w:val="1"/>
      <w:numFmt w:val="bullet"/>
      <w:lvlText w:val="●"/>
      <w:lvlJc w:val="left"/>
      <w:pPr>
        <w:ind w:left="5040" w:hanging="360"/>
      </w:pPr>
    </w:lvl>
    <w:lvl w:ilvl="7" w:tplc="395CCFD6">
      <w:start w:val="1"/>
      <w:numFmt w:val="bullet"/>
      <w:lvlText w:val="●"/>
      <w:lvlJc w:val="left"/>
      <w:pPr>
        <w:ind w:left="5760" w:hanging="360"/>
      </w:pPr>
    </w:lvl>
    <w:lvl w:ilvl="8" w:tplc="E4C86E2A">
      <w:start w:val="1"/>
      <w:numFmt w:val="bullet"/>
      <w:lvlText w:val="●"/>
      <w:lvlJc w:val="left"/>
      <w:pPr>
        <w:ind w:left="6480" w:hanging="360"/>
      </w:pPr>
    </w:lvl>
  </w:abstractNum>
  <w:num w:numId="1" w16cid:durableId="1613047931">
    <w:abstractNumId w:val="1"/>
    <w:lvlOverride w:ilvl="0">
      <w:startOverride w:val="1"/>
    </w:lvlOverride>
  </w:num>
  <w:num w:numId="2" w16cid:durableId="348534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592"/>
    <w:rsid w:val="0022661A"/>
    <w:rsid w:val="00355405"/>
    <w:rsid w:val="00532E88"/>
    <w:rsid w:val="00572E8C"/>
    <w:rsid w:val="005D6592"/>
    <w:rsid w:val="0080221D"/>
    <w:rsid w:val="008C1F2B"/>
    <w:rsid w:val="00916A75"/>
    <w:rsid w:val="00942339"/>
    <w:rsid w:val="00AA7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5285"/>
  <w15:docId w15:val="{33B23374-2C30-4DAF-8B28-13728469D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3315</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Sayali Mhatre</cp:lastModifiedBy>
  <cp:revision>6</cp:revision>
  <dcterms:created xsi:type="dcterms:W3CDTF">2026-04-04T16:57:00Z</dcterms:created>
  <dcterms:modified xsi:type="dcterms:W3CDTF">2026-10-13T16:17:00Z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f9482973-08e1-4fb9-b1d4-d82facc29471</vt:lpwstr>
  </property>
</Properties>
</file>