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360" w:lineRule="auto" w:before="240" w:after="120"/>
      </w:pPr>
      <w:r>
        <w:rPr>
          <w:rFonts w:eastAsia="黑体" w:ascii="Times New Roman" w:hAnsi="Times New Roman"/>
          <w:b/>
          <w:i w:val="0"/>
          <w:sz w:val="30"/>
        </w:rPr>
        <w:t>二、相关理论基础</w:t>
      </w:r>
    </w:p>
    <w:p>
      <w:pPr>
        <w:jc w:val="left"/>
        <w:spacing w:line="360" w:lineRule="auto" w:before="120" w:after="60"/>
        <w:ind w:firstLine="560"/>
      </w:pPr>
      <w:r>
        <w:rPr>
          <w:rFonts w:eastAsia="楷体" w:ascii="Times New Roman" w:hAnsi="Times New Roman"/>
          <w:b w:val="0"/>
          <w:i w:val="0"/>
          <w:sz w:val="28"/>
        </w:rPr>
        <w:t>（一）航班延误与延误传播</w:t>
      </w:r>
    </w:p>
    <w:p>
      <w:pPr>
        <w:jc w:val="left"/>
        <w:ind w:firstLine="480"/>
        <w:spacing w:line="360" w:lineRule="auto" w:before="0" w:after="0"/>
      </w:pPr>
      <w:r>
        <w:rPr>
          <w:rFonts w:eastAsia="宋体" w:ascii="Times New Roman" w:hAnsi="Times New Roman"/>
          <w:b w:val="0"/>
          <w:i w:val="0"/>
          <w:sz w:val="24"/>
        </w:rPr>
        <w:t>航班延误是航空运营中的常见问题，其成因包括天气变化、空中交通管制、机械故障、机组调度等多种因素。航班延误不仅造成直接经济损失，还会引发连锁性的运力降级与旅客信任危机。</w:t>
      </w:r>
    </w:p>
    <w:p>
      <w:pPr>
        <w:jc w:val="left"/>
        <w:ind w:firstLine="480"/>
        <w:spacing w:line="360" w:lineRule="auto" w:before="0" w:after="0"/>
      </w:pPr>
      <w:r>
        <w:rPr>
          <w:rFonts w:eastAsia="宋体" w:ascii="Times New Roman" w:hAnsi="Times New Roman"/>
          <w:b w:val="0"/>
          <w:i w:val="0"/>
          <w:sz w:val="24"/>
        </w:rPr>
        <w:t>延误传播是航班延误预测中最具挑战性的环节。同一架飞机在一天内通常执飞多个航段，前一段航班的到达延误会压缩后续航班的过站缓冲时间，进而导致后续航班出发延误。这种沿飞机航段序列逐段传导的现象称为延误传播。</w:t>
      </w:r>
    </w:p>
    <w:p>
      <w:pPr>
        <w:jc w:val="left"/>
        <w:ind w:firstLine="480"/>
        <w:spacing w:line="360" w:lineRule="auto" w:before="0" w:after="0"/>
      </w:pPr>
      <w:r>
        <w:rPr>
          <w:rFonts w:eastAsia="宋体" w:ascii="Times New Roman" w:hAnsi="Times New Roman"/>
          <w:b w:val="0"/>
          <w:i w:val="0"/>
          <w:sz w:val="24"/>
        </w:rPr>
        <w:t>准确预测航班延误需要考虑两类信息：一是当前航班的静态特征，包括出发机场、到达机场、计划出发时间、天气条件、计划飞行时长等；二是前序航段的延误状态，包括前序航班的出发延误、到达延误、过站缓冲时间等。航班链建模的核心目标是捕捉延误在飞机航段序列中的传播规律，为分类模型提供从上游到下游的完整传播信息。</w:t>
      </w:r>
    </w:p>
    <w:p>
      <w:pPr>
        <w:jc w:val="left"/>
        <w:spacing w:line="360" w:lineRule="auto" w:before="120" w:after="60"/>
        <w:ind w:firstLine="560"/>
      </w:pPr>
      <w:r>
        <w:rPr>
          <w:rFonts w:eastAsia="楷体" w:ascii="Times New Roman" w:hAnsi="Times New Roman"/>
          <w:b w:val="0"/>
          <w:i w:val="0"/>
          <w:sz w:val="28"/>
        </w:rPr>
        <w:t>（二）主要模型理论</w:t>
      </w:r>
    </w:p>
    <w:p>
      <w:pPr>
        <w:jc w:val="left"/>
        <w:ind w:firstLine="480"/>
        <w:spacing w:line="360" w:lineRule="auto" w:before="0" w:after="0"/>
      </w:pPr>
      <w:r>
        <w:rPr>
          <w:rFonts w:eastAsia="宋体" w:ascii="Times New Roman" w:hAnsi="Times New Roman"/>
          <w:b w:val="0"/>
          <w:i w:val="0"/>
          <w:sz w:val="24"/>
        </w:rPr>
        <w:t>1.航班链与特征工程</w:t>
      </w:r>
    </w:p>
    <w:p>
      <w:pPr>
        <w:jc w:val="left"/>
        <w:ind w:firstLine="480"/>
        <w:spacing w:line="360" w:lineRule="auto" w:before="0" w:after="0"/>
      </w:pPr>
      <w:r>
        <w:rPr>
          <w:rFonts w:eastAsia="宋体" w:ascii="Times New Roman" w:hAnsi="Times New Roman"/>
          <w:b w:val="0"/>
          <w:i w:val="0"/>
          <w:sz w:val="24"/>
        </w:rPr>
        <w:t>航班链是指同一架飞机在单日内按计划出发时间排序的航段序列，最大长度为六段。以飞机尾号为唯一分组键进行链构建，确保同一链内的航段确实由同一架飞机执飞，完整保留延误传播的因果时序。</w:t>
      </w:r>
    </w:p>
    <w:p>
      <w:pPr>
        <w:jc w:val="left"/>
        <w:ind w:firstLine="480"/>
        <w:spacing w:line="360" w:lineRule="auto" w:before="0" w:after="0"/>
      </w:pPr>
      <w:r>
        <w:rPr>
          <w:rFonts w:eastAsia="宋体" w:ascii="Times New Roman" w:hAnsi="Times New Roman"/>
          <w:b w:val="0"/>
          <w:i w:val="0"/>
          <w:sz w:val="24"/>
        </w:rPr>
        <w:t>在航班链基础上，为每个航段计算六维传播衍生特征：前序出发延误分钟数、前序到达延误分钟数、计划过站缓冲时间、前两段出发延误均值、前两段出发延误最大值、前两段出发延误变化趋势。此外，还引入上下文统计特征，包括出发机场与到达机场在60分钟窗口内的延误率、承运人在出发机场的延误率、同一航段及反向航段的历史延误率、邻近机场的延误率。最后，构造综合风险评分，将链风险、机场风险和航段风险按权重加权融合。</w:t>
      </w:r>
    </w:p>
    <w:p>
      <w:pPr>
        <w:jc w:val="left"/>
        <w:ind w:firstLine="480"/>
        <w:spacing w:line="360" w:lineRule="auto" w:before="0" w:after="0"/>
      </w:pPr>
      <w:r>
        <w:rPr>
          <w:rFonts w:eastAsia="宋体" w:ascii="Times New Roman" w:hAnsi="Times New Roman"/>
          <w:b w:val="0"/>
          <w:i w:val="0"/>
          <w:sz w:val="24"/>
        </w:rPr>
        <w:t>2.大规模语言模型</w:t>
      </w:r>
    </w:p>
    <w:p>
      <w:pPr>
        <w:jc w:val="left"/>
        <w:ind w:firstLine="480"/>
        <w:spacing w:line="360" w:lineRule="auto" w:before="0" w:after="0"/>
      </w:pPr>
      <w:r>
        <w:rPr>
          <w:rFonts w:eastAsia="宋体" w:ascii="Times New Roman" w:hAnsi="Times New Roman"/>
          <w:b w:val="0"/>
          <w:i w:val="0"/>
          <w:sz w:val="24"/>
        </w:rPr>
        <w:t>大规模语言模型是基于Transformer架构的深度学习模型，通过在海量文本语料上进行自监督预训练，学习语言的统计规律和语义表示。Transformer的核心是自注意力机制，能够并行计算序列中任意两个位置之间的依赖关系，克服了传统循环神经网络在长序列建模中的效率瓶颈。</w:t>
      </w:r>
    </w:p>
    <w:p>
      <w:pPr>
        <w:jc w:val="left"/>
        <w:ind w:firstLine="480"/>
        <w:spacing w:line="360" w:lineRule="auto" w:before="0" w:after="0"/>
      </w:pPr>
      <w:r>
        <w:rPr>
          <w:rFonts w:eastAsia="宋体" w:ascii="Times New Roman" w:hAnsi="Times New Roman"/>
          <w:b w:val="0"/>
          <w:i w:val="0"/>
          <w:sz w:val="24"/>
        </w:rPr>
        <w:t>语言模型的预训练目标是最小化下一个词元的预测损失。给定输入序列，模型学习条件概率分布。通过多层Transformer块的堆叠，模型能够捕捉复杂的上下文依赖关系。在下游任务中，可以通过提示模板将分类任务转化为文本生成问题。</w:t>
      </w:r>
    </w:p>
    <w:p>
      <w:pPr>
        <w:jc w:val="left"/>
        <w:ind w:firstLine="480"/>
        <w:spacing w:line="360" w:lineRule="auto" w:before="0" w:after="0"/>
      </w:pPr>
      <w:r>
        <w:rPr>
          <w:rFonts w:eastAsia="宋体" w:ascii="Times New Roman" w:hAnsi="Times New Roman"/>
          <w:b w:val="0"/>
          <w:i w:val="0"/>
          <w:sz w:val="24"/>
        </w:rPr>
        <w:t>3.Gemma模型</w:t>
      </w:r>
    </w:p>
    <w:p>
      <w:pPr>
        <w:jc w:val="left"/>
        <w:ind w:firstLine="480"/>
        <w:spacing w:line="360" w:lineRule="auto" w:before="0" w:after="0"/>
      </w:pPr>
      <w:r>
        <w:rPr>
          <w:rFonts w:eastAsia="宋体" w:ascii="Times New Roman" w:hAnsi="Times New Roman"/>
          <w:b w:val="0"/>
          <w:i w:val="0"/>
          <w:sz w:val="24"/>
        </w:rPr>
        <w:t>Gemma是Google DeepMind发布的开源大规模语言模型系列。Gemma-4-E4B是其中参数量约40亿的版本，原始发布为多模态架构，包含文本塔、视觉塔和音频塔。本文仅使用其文本塔部分，通过从多模态权重文件中提取语言模型参数加载到因果语言模型架构中，避免视觉和音频模块占用显存。</w:t>
      </w:r>
    </w:p>
    <w:p>
      <w:pPr>
        <w:jc w:val="left"/>
        <w:ind w:firstLine="480"/>
        <w:spacing w:line="360" w:lineRule="auto" w:before="0" w:after="0"/>
      </w:pPr>
      <w:r>
        <w:rPr>
          <w:rFonts w:eastAsia="宋体" w:ascii="Times New Roman" w:hAnsi="Times New Roman"/>
          <w:b w:val="0"/>
          <w:i w:val="0"/>
          <w:sz w:val="24"/>
        </w:rPr>
        <w:t>Gemma模型的架构特点包括：采用旋转位置编码处理序列位置信息，使用RMSNorm替代LayerNorm以提升计算效率，采用SwiGLU激活函数增强非线性表达能力。这些设计使Gemma在参数效率与模型性能之间取得了良好平衡，适合在单张消费级GPU上进行微调。</w:t>
      </w:r>
    </w:p>
    <w:p>
      <w:pPr>
        <w:jc w:val="left"/>
        <w:ind w:firstLine="480"/>
        <w:spacing w:line="360" w:lineRule="auto" w:before="0" w:after="0"/>
      </w:pPr>
      <w:r>
        <w:rPr>
          <w:rFonts w:eastAsia="宋体" w:ascii="Times New Roman" w:hAnsi="Times New Roman"/>
          <w:b w:val="0"/>
          <w:i w:val="0"/>
          <w:sz w:val="24"/>
        </w:rPr>
        <w:t>4.低秩适配微调</w:t>
      </w:r>
    </w:p>
    <w:p>
      <w:pPr>
        <w:jc w:val="left"/>
        <w:ind w:firstLine="480"/>
        <w:spacing w:line="360" w:lineRule="auto" w:before="0" w:after="0"/>
      </w:pPr>
      <w:r>
        <w:rPr>
          <w:rFonts w:eastAsia="宋体" w:ascii="Times New Roman" w:hAnsi="Times New Roman"/>
          <w:b w:val="0"/>
          <w:i w:val="0"/>
          <w:sz w:val="24"/>
        </w:rPr>
        <w:t>低秩适配是一种参数高效的大模型微调方法。其核心思想是冻结预训练模型的全部原始权重，仅在特定层旁路注入一对低秩矩阵。微调后的前向传播在原始输出基础上叠加低秩适配器的贡献，通过缩放系数控制影响幅度。</w:t>
      </w:r>
    </w:p>
    <w:p>
      <w:pPr>
        <w:jc w:val="left"/>
        <w:ind w:firstLine="480"/>
        <w:spacing w:line="360" w:lineRule="auto" w:before="0" w:after="0"/>
      </w:pPr>
      <w:r>
        <w:rPr>
          <w:rFonts w:eastAsia="宋体" w:ascii="Times New Roman" w:hAnsi="Times New Roman"/>
          <w:b w:val="0"/>
          <w:i w:val="0"/>
          <w:sz w:val="24"/>
        </w:rPr>
        <w:t>在本文的设定中，LoRA的秩为4，缩放系数为8，适配器注入目标为注意力机制的查询投影和值投影两个线性层。相较于全参数微调，LoRA的可训练参数量仅为基座模型的千分之几，在有限显存条件下即可完成领域适配，同时保持推理时无额外延迟。训练过程中采用梯度检查点技术进一步降低显存占用。</w:t>
      </w:r>
    </w:p>
    <w:p>
      <w:pPr>
        <w:jc w:val="left"/>
        <w:ind w:firstLine="480"/>
        <w:spacing w:line="360" w:lineRule="auto" w:before="0" w:after="0"/>
      </w:pPr>
      <w:r>
        <w:rPr>
          <w:rFonts w:eastAsia="宋体" w:ascii="Times New Roman" w:hAnsi="Times New Roman"/>
          <w:b w:val="0"/>
          <w:i w:val="0"/>
          <w:sz w:val="24"/>
        </w:rPr>
        <w:t>5.生成式文本分类</w:t>
      </w:r>
    </w:p>
    <w:p>
      <w:pPr>
        <w:jc w:val="left"/>
        <w:ind w:firstLine="480"/>
        <w:spacing w:line="360" w:lineRule="auto" w:before="0" w:after="0"/>
      </w:pPr>
      <w:r>
        <w:rPr>
          <w:rFonts w:eastAsia="宋体" w:ascii="Times New Roman" w:hAnsi="Times New Roman"/>
          <w:b w:val="0"/>
          <w:i w:val="0"/>
          <w:sz w:val="24"/>
        </w:rPr>
        <w:t>本文采用生成式分类范式将航班延误预测转化为文本生成任务。航班链的结构化特征通过紧凑提示模板转化为多行文本描述，包括当前航班信息、天气条件、同机前序航段状态、机场与航段上下文统计、邻近机场信息和综合风险评分。模型在提示文本的引导下，生成代表分类结果的单个词元。</w:t>
      </w:r>
    </w:p>
    <w:p>
      <w:pPr>
        <w:jc w:val="left"/>
        <w:ind w:firstLine="480"/>
        <w:spacing w:line="360" w:lineRule="auto" w:before="0" w:after="0"/>
      </w:pPr>
      <w:r>
        <w:rPr>
          <w:rFonts w:eastAsia="宋体" w:ascii="Times New Roman" w:hAnsi="Times New Roman"/>
          <w:b w:val="0"/>
          <w:i w:val="0"/>
          <w:sz w:val="24"/>
        </w:rPr>
        <w:t>评估阶段，取模型在最后一个位置的输出，提取两个候选标签词元的logit值，通过Softmax归一化得到延误类别的概率得分。分类阈值在验证集上通过网格搜索确定，以F1分数为优化目标，在0.05至0.95区间内以0.01为步长遍历。该方案无需修改模型输出层，直接利用语言模型已有的词表分布完成分类。</w:t>
      </w:r>
    </w:p>
    <w:p>
      <w:pPr>
        <w:jc w:val="left"/>
        <w:ind w:firstLine="480"/>
        <w:spacing w:line="360" w:lineRule="auto" w:before="0" w:after="0"/>
      </w:pPr>
      <w:r>
        <w:rPr>
          <w:rFonts w:eastAsia="宋体" w:ascii="Times New Roman" w:hAnsi="Times New Roman"/>
          <w:b w:val="0"/>
          <w:i w:val="0"/>
          <w:sz w:val="24"/>
        </w:rPr>
        <w:t>6.模型评价指标</w:t>
      </w:r>
    </w:p>
    <w:p>
      <w:pPr>
        <w:jc w:val="left"/>
        <w:ind w:firstLine="480"/>
        <w:spacing w:line="360" w:lineRule="auto" w:before="0" w:after="0"/>
      </w:pPr>
      <w:r>
        <w:rPr>
          <w:rFonts w:eastAsia="宋体" w:ascii="Times New Roman" w:hAnsi="Times New Roman"/>
          <w:b w:val="0"/>
          <w:i w:val="0"/>
          <w:sz w:val="24"/>
        </w:rPr>
        <w:t>航班延误预测面临类别不平衡问题，正类样本占比约为百分之十五至二十。本文采用准确率、受试者工作特征曲线下面积、精确率-召回率曲线下面积和F1分数作为主要评价指标。设真正例为</w:t>
      </w:r>
      <w:r>
        <w:rPr>
          <w:rFonts w:eastAsia="宋体" w:ascii="Times New Roman" w:hAnsi="Times New Roman"/>
          <w:b w:val="0"/>
          <w:i/>
          <w:sz w:val="24"/>
        </w:rPr>
        <w:t>TP</w:t>
      </w:r>
      <w:r>
        <w:rPr>
          <w:rFonts w:eastAsia="宋体" w:ascii="Times New Roman" w:hAnsi="Times New Roman"/>
          <w:b w:val="0"/>
          <w:i w:val="0"/>
          <w:sz w:val="24"/>
        </w:rPr>
        <w:t>、真负例为</w:t>
      </w:r>
      <w:r>
        <w:rPr>
          <w:rFonts w:eastAsia="宋体" w:ascii="Times New Roman" w:hAnsi="Times New Roman"/>
          <w:b w:val="0"/>
          <w:i/>
          <w:sz w:val="24"/>
        </w:rPr>
        <w:t>TN</w:t>
      </w:r>
      <w:r>
        <w:rPr>
          <w:rFonts w:eastAsia="宋体" w:ascii="Times New Roman" w:hAnsi="Times New Roman"/>
          <w:b w:val="0"/>
          <w:i w:val="0"/>
          <w:sz w:val="24"/>
        </w:rPr>
        <w:t>、假正例为</w:t>
      </w:r>
      <w:r>
        <w:rPr>
          <w:rFonts w:eastAsia="宋体" w:ascii="Times New Roman" w:hAnsi="Times New Roman"/>
          <w:b w:val="0"/>
          <w:i/>
          <w:sz w:val="24"/>
        </w:rPr>
        <w:t>FP</w:t>
      </w:r>
      <w:r>
        <w:rPr>
          <w:rFonts w:eastAsia="宋体" w:ascii="Times New Roman" w:hAnsi="Times New Roman"/>
          <w:b w:val="0"/>
          <w:i w:val="0"/>
          <w:sz w:val="24"/>
        </w:rPr>
        <w:t>、假负例为</w:t>
      </w:r>
      <w:r>
        <w:rPr>
          <w:rFonts w:eastAsia="宋体" w:ascii="Times New Roman" w:hAnsi="Times New Roman"/>
          <w:b w:val="0"/>
          <w:i/>
          <w:sz w:val="24"/>
        </w:rPr>
        <w:t>FN</w:t>
      </w:r>
      <w:r>
        <w:rPr>
          <w:rFonts w:eastAsia="宋体" w:ascii="Times New Roman" w:hAnsi="Times New Roman"/>
          <w:b w:val="0"/>
          <w:i w:val="0"/>
          <w:sz w:val="24"/>
        </w:rPr>
        <w:t>，各指标定义如下：</w:t>
      </w:r>
    </w:p>
    <w:p>
      <w:pPr>
        <w:jc w:val="center"/>
        <w:spacing w:line="360" w:lineRule="auto" w:before="40" w:after="40"/>
      </w:pPr>
      <w:r>
        <w:rPr>
          <w:rFonts w:eastAsia="宋体" w:ascii="Times New Roman" w:hAnsi="Times New Roman"/>
          <w:b w:val="0"/>
          <w:i/>
          <w:sz w:val="22"/>
        </w:rPr>
        <w:t>\text{精确率} \quad P = \frac{TP}{TP + FP}</w:t>
      </w:r>
    </w:p>
    <w:p>
      <w:pPr>
        <w:jc w:val="center"/>
        <w:spacing w:line="360" w:lineRule="auto" w:before="40" w:after="40"/>
      </w:pPr>
      <w:r>
        <w:rPr>
          <w:rFonts w:eastAsia="宋体" w:ascii="Times New Roman" w:hAnsi="Times New Roman"/>
          <w:b w:val="0"/>
          <w:i/>
          <w:sz w:val="22"/>
        </w:rPr>
        <w:t>\text{召回率} \quad R = \frac{TP}{TP + FN}</w:t>
      </w:r>
    </w:p>
    <w:p>
      <w:pPr>
        <w:jc w:val="center"/>
        <w:spacing w:line="360" w:lineRule="auto" w:before="40" w:after="40"/>
      </w:pPr>
      <w:r>
        <w:rPr>
          <w:rFonts w:eastAsia="宋体" w:ascii="Times New Roman" w:hAnsi="Times New Roman"/>
          <w:b w:val="0"/>
          <w:i/>
          <w:sz w:val="22"/>
        </w:rPr>
        <w:t>F1 = \frac{2PR}{P + R}</w:t>
      </w:r>
    </w:p>
    <w:p>
      <w:pPr>
        <w:jc w:val="left"/>
        <w:ind w:firstLine="480"/>
        <w:spacing w:line="360" w:lineRule="auto" w:before="0" w:after="0"/>
      </w:pPr>
      <w:r>
        <w:rPr>
          <w:rFonts w:eastAsia="宋体" w:ascii="Times New Roman" w:hAnsi="Times New Roman"/>
          <w:b w:val="0"/>
          <w:i w:val="0"/>
          <w:sz w:val="24"/>
        </w:rPr>
        <w:t>混淆矩阵呈现四类样本的数量分布，用于诊断模型的系统性偏差。此外，本文还报告精确率不低于0.50约束下最大化召回率的结果，模拟航空公司运行控制中对预警信号高可信度的决策偏好。</w:t>
      </w:r>
    </w:p>
    <w:sectPr w:rsidR="00FC693F" w:rsidRPr="0006063C" w:rsidSect="00034616">
      <w:pgSz w:w="11906" w:h="16838"/>
      <w:pgMar w:top="1440" w:right="1800" w:bottom="1440" w:left="1800"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