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449A9">
      <w:pPr>
        <w:spacing w:before="156"/>
        <w:ind w:firstLine="199" w:firstLineChars="62"/>
        <w:jc w:val="center"/>
        <w:rPr>
          <w:rFonts w:hint="eastAsia" w:eastAsia="方正小标宋简体"/>
          <w:b/>
          <w:bCs/>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upperRoman" w:start="1"/>
          <w:cols w:space="425" w:num="1"/>
          <w:docGrid w:type="lines" w:linePitch="312" w:charSpace="0"/>
        </w:sectPr>
      </w:pPr>
    </w:p>
    <w:p w14:paraId="18EC301F">
      <w:pPr>
        <w:spacing w:before="156"/>
        <w:ind w:firstLine="199" w:firstLineChars="62"/>
        <w:jc w:val="center"/>
        <w:rPr>
          <w:rFonts w:hint="eastAsia" w:eastAsia="方正小标宋简体"/>
          <w:b/>
          <w:bCs/>
          <w:sz w:val="32"/>
          <w:szCs w:val="32"/>
        </w:rPr>
      </w:pPr>
      <w:r>
        <w:rPr>
          <w:rFonts w:hint="eastAsia" w:eastAsia="方正小标宋简体"/>
          <w:b/>
          <w:bCs/>
          <w:sz w:val="32"/>
          <w:szCs w:val="32"/>
        </w:rPr>
        <w:t>基于TCN迁移学习与多源特征融合的心源性猝死风险</w:t>
      </w:r>
    </w:p>
    <w:p w14:paraId="3D00ED1F">
      <w:pPr>
        <w:spacing w:before="156"/>
        <w:ind w:firstLine="199" w:firstLineChars="62"/>
        <w:jc w:val="center"/>
        <w:rPr>
          <w:rFonts w:eastAsia="方正小标宋简体"/>
          <w:b/>
          <w:bCs/>
          <w:color w:val="000000" w:themeColor="text1"/>
          <w:sz w:val="32"/>
          <w:szCs w:val="32"/>
          <w:highlight w:val="none"/>
          <w14:textFill>
            <w14:solidFill>
              <w14:schemeClr w14:val="tx1"/>
            </w14:solidFill>
          </w14:textFill>
        </w:rPr>
      </w:pPr>
      <w:r>
        <w:rPr>
          <w:rFonts w:hint="eastAsia" w:eastAsia="方正小标宋简体"/>
          <w:b/>
          <w:bCs/>
          <w:color w:val="000000" w:themeColor="text1"/>
          <w:sz w:val="32"/>
          <w:szCs w:val="32"/>
          <w:highlight w:val="none"/>
          <w14:textFill>
            <w14:solidFill>
              <w14:schemeClr w14:val="tx1"/>
            </w14:solidFill>
          </w14:textFill>
        </w:rPr>
        <w:t>预测研究</w:t>
      </w:r>
    </w:p>
    <w:p w14:paraId="67959254">
      <w:pPr>
        <w:spacing w:before="156"/>
        <w:ind w:firstLine="199" w:firstLineChars="62"/>
        <w:jc w:val="center"/>
        <w:rPr>
          <w:rFonts w:eastAsia="方正小标宋简体"/>
          <w:b/>
          <w:bCs/>
          <w:sz w:val="32"/>
          <w:szCs w:val="32"/>
        </w:rPr>
      </w:pPr>
    </w:p>
    <w:p w14:paraId="701B9913">
      <w:pPr>
        <w:spacing w:before="156"/>
        <w:ind w:firstLine="0" w:firstLineChars="0"/>
        <w:jc w:val="center"/>
        <w:outlineLvl w:val="0"/>
        <w:rPr>
          <w:rFonts w:eastAsia="黑体"/>
          <w:sz w:val="28"/>
          <w:szCs w:val="28"/>
        </w:rPr>
      </w:pPr>
      <w:bookmarkStart w:id="0" w:name="_Toc14473"/>
      <w:bookmarkStart w:id="1" w:name="_Toc1958"/>
      <w:bookmarkStart w:id="2" w:name="_Toc10319"/>
      <w:r>
        <w:rPr>
          <w:rFonts w:hint="eastAsia" w:eastAsia="黑体"/>
          <w:sz w:val="28"/>
          <w:szCs w:val="28"/>
        </w:rPr>
        <w:t>摘要</w:t>
      </w:r>
      <w:bookmarkEnd w:id="0"/>
      <w:bookmarkEnd w:id="1"/>
      <w:bookmarkEnd w:id="2"/>
    </w:p>
    <w:p w14:paraId="6DCC51B4">
      <w:pPr>
        <w:ind w:firstLine="480"/>
        <w:rPr>
          <w:color w:val="000000" w:themeColor="text1"/>
          <w14:textFill>
            <w14:solidFill>
              <w14:schemeClr w14:val="tx1"/>
            </w14:solidFill>
          </w14:textFill>
        </w:rPr>
      </w:pPr>
      <w:r>
        <w:rPr>
          <w:rFonts w:hint="eastAsia"/>
        </w:rPr>
        <w:t>随着</w:t>
      </w:r>
      <w:r>
        <w:t>心源性猝死</w:t>
      </w:r>
      <w:r>
        <w:rPr>
          <w:rFonts w:hint="eastAsia"/>
        </w:rPr>
        <w:t>近年来的发生率逐渐增加，发病人群也变得年轻化，成为重要的公共健康问</w:t>
      </w:r>
      <w:r>
        <w:rPr>
          <w:rFonts w:hint="eastAsia"/>
          <w:color w:val="000000" w:themeColor="text1"/>
          <w14:textFill>
            <w14:solidFill>
              <w14:schemeClr w14:val="tx1"/>
            </w14:solidFill>
          </w14:textFill>
        </w:rPr>
        <w:t>题。本文</w:t>
      </w:r>
      <w:r>
        <w:rPr>
          <w:color w:val="000000" w:themeColor="text1"/>
          <w14:textFill>
            <w14:solidFill>
              <w14:schemeClr w14:val="tx1"/>
            </w14:solidFill>
          </w14:textFill>
        </w:rPr>
        <w:t>针对</w:t>
      </w:r>
      <w:r>
        <w:rPr>
          <w:rFonts w:hint="eastAsia"/>
          <w:color w:val="000000" w:themeColor="text1"/>
          <w14:textFill>
            <w14:solidFill>
              <w14:schemeClr w14:val="tx1"/>
            </w14:solidFill>
          </w14:textFill>
        </w:rPr>
        <w:t>缺乏真实SCD死因标签的临床心电数据</w:t>
      </w:r>
      <w:r>
        <w:rPr>
          <w:color w:val="000000" w:themeColor="text1"/>
          <w14:textFill>
            <w14:solidFill>
              <w14:schemeClr w14:val="tx1"/>
            </w14:solidFill>
          </w14:textFill>
        </w:rPr>
        <w:t>、单模态建模信息维度不足，现有预</w:t>
      </w:r>
      <w:r>
        <w:rPr>
          <w:rFonts w:hint="eastAsia"/>
          <w:color w:val="000000" w:themeColor="text1"/>
          <w14:textFill>
            <w14:solidFill>
              <w14:schemeClr w14:val="tx1"/>
            </w14:solidFill>
          </w14:textFill>
        </w:rPr>
        <w:t>测</w:t>
      </w:r>
      <w:r>
        <w:rPr>
          <w:color w:val="000000" w:themeColor="text1"/>
          <w14:textFill>
            <w14:solidFill>
              <w14:schemeClr w14:val="tx1"/>
            </w14:solidFill>
          </w14:textFill>
        </w:rPr>
        <w:t>模型泛化性与可解释性</w:t>
      </w:r>
      <w:r>
        <w:rPr>
          <w:rFonts w:hint="eastAsia"/>
          <w:color w:val="000000" w:themeColor="text1"/>
          <w14:textFill>
            <w14:solidFill>
              <w14:schemeClr w14:val="tx1"/>
            </w14:solidFill>
          </w14:textFill>
        </w:rPr>
        <w:t>还有待优化的问题，</w:t>
      </w:r>
      <w:r>
        <w:rPr>
          <w:color w:val="000000" w:themeColor="text1"/>
          <w14:textFill>
            <w14:solidFill>
              <w14:schemeClr w14:val="tx1"/>
            </w14:solidFill>
          </w14:textFill>
        </w:rPr>
        <w:t>以心源性猝死风险</w:t>
      </w:r>
      <w:r>
        <w:rPr>
          <w:rFonts w:hint="eastAsia"/>
          <w:color w:val="000000" w:themeColor="text1"/>
          <w14:textFill>
            <w14:solidFill>
              <w14:schemeClr w14:val="tx1"/>
            </w14:solidFill>
          </w14:textFill>
        </w:rPr>
        <w:t>预测</w:t>
      </w:r>
      <w:r>
        <w:rPr>
          <w:color w:val="000000" w:themeColor="text1"/>
          <w14:textFill>
            <w14:solidFill>
              <w14:schemeClr w14:val="tx1"/>
            </w14:solidFill>
          </w14:textFill>
        </w:rPr>
        <w:t>为研究对象，结合时序深度学习、迁移学习与</w:t>
      </w:r>
      <w:r>
        <w:rPr>
          <w:rFonts w:hint="eastAsia"/>
          <w:color w:val="000000" w:themeColor="text1"/>
          <w14:textFill>
            <w14:solidFill>
              <w14:schemeClr w14:val="tx1"/>
            </w14:solidFill>
          </w14:textFill>
        </w:rPr>
        <w:t>依赖有效且相关的特征变量进行特征工程的处理</w:t>
      </w:r>
      <w:r>
        <w:rPr>
          <w:color w:val="000000" w:themeColor="text1"/>
          <w14:textFill>
            <w14:solidFill>
              <w14:schemeClr w14:val="tx1"/>
            </w14:solidFill>
          </w14:textFill>
        </w:rPr>
        <w:t>，构建</w:t>
      </w:r>
      <w:r>
        <w:rPr>
          <w:rFonts w:hint="eastAsia"/>
          <w:color w:val="000000" w:themeColor="text1"/>
          <w14:textFill>
            <w14:solidFill>
              <w14:schemeClr w14:val="tx1"/>
            </w14:solidFill>
          </w14:textFill>
        </w:rPr>
        <w:t>了关于其</w:t>
      </w:r>
      <w:r>
        <w:rPr>
          <w:color w:val="000000" w:themeColor="text1"/>
          <w14:textFill>
            <w14:solidFill>
              <w14:schemeClr w14:val="tx1"/>
            </w14:solidFill>
          </w14:textFill>
        </w:rPr>
        <w:t>多源数据融合驱动的风险</w:t>
      </w:r>
      <w:r>
        <w:rPr>
          <w:rFonts w:hint="eastAsia"/>
          <w:color w:val="000000" w:themeColor="text1"/>
          <w14:textFill>
            <w14:solidFill>
              <w14:schemeClr w14:val="tx1"/>
            </w14:solidFill>
          </w14:textFill>
        </w:rPr>
        <w:t>预测</w:t>
      </w:r>
      <w:r>
        <w:rPr>
          <w:color w:val="000000" w:themeColor="text1"/>
          <w14:textFill>
            <w14:solidFill>
              <w14:schemeClr w14:val="tx1"/>
            </w14:solidFill>
          </w14:textFill>
        </w:rPr>
        <w:t>模型。</w:t>
      </w:r>
    </w:p>
    <w:p w14:paraId="5267647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整合外部源域心电数据、MIMIC-IV-ECG临床心电数据与MIMIC-IV临床结构化数据，开展数据清洗、心电迁移表征构建与多源融合建模，开展数据清洗与预处理。经核心字段筛选、重复样本剔除、缺失与异常值修正构建标准化数据集；基于时间卷积网络（TCN）在PTB-XL在外部猝死心电数据集预训练的迁移学习框架，从心电信号中提取高危心电表型特征；同时对原始数据库的临床结局标签进行质控与精炼，构建适配本研究目标的标准化标签体系。</w:t>
      </w:r>
    </w:p>
    <w:p w14:paraId="63872A9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在此基础上，通过融合TCN提取的心电特征与临床结构化特征，搭建以XGBoost为主模型，以MLP、SVM和Logistic Regression作为对比模型来验证XGBoost的有效性，采用五折交叉验证完成训练与调优。结合bagging处理数据不平衡问题，并引入SHAP值分析提升模型可解释性。模型评估阶段，采用AUC-ROC、平均精度等核心指标对比性能，优选的XGBoost模型在综合高风险预测任</w:t>
      </w:r>
      <w:r>
        <w:rPr>
          <w:rFonts w:hint="eastAsia"/>
          <w:color w:val="000000" w:themeColor="text1"/>
          <w:lang w:eastAsia="zh-CN"/>
          <w14:textFill>
            <w14:solidFill>
              <w14:schemeClr w14:val="tx1"/>
            </w14:solidFill>
          </w14:textFill>
        </w:rPr>
        <w:t>务中</w:t>
      </w:r>
      <w:r>
        <w:rPr>
          <w:rFonts w:hint="eastAsia"/>
          <w:color w:val="000000" w:themeColor="text1"/>
          <w14:textFill>
            <w14:solidFill>
              <w14:schemeClr w14:val="tx1"/>
            </w14:solidFill>
          </w14:textFill>
        </w:rPr>
        <w:t>AUC达到0.8559，在30天内死亡预测任务中AUC达到</w:t>
      </w:r>
      <w:r>
        <w:rPr>
          <w:rFonts w:hint="eastAsia" w:cs="Times New Roman"/>
          <w:color w:val="000000" w:themeColor="text1"/>
          <w:spacing w:val="4"/>
          <w:kern w:val="0"/>
          <w14:textFill>
            <w14:solidFill>
              <w14:schemeClr w14:val="tx1"/>
            </w14:solidFill>
          </w14:textFill>
        </w:rPr>
        <w:t>0.8462</w:t>
      </w:r>
      <w:r>
        <w:rPr>
          <w:rFonts w:hint="eastAsia"/>
          <w:color w:val="000000" w:themeColor="text1"/>
          <w14:textFill>
            <w14:solidFill>
              <w14:schemeClr w14:val="tx1"/>
            </w14:solidFill>
          </w14:textFill>
        </w:rPr>
        <w:t>，显示出较好的风险区分能力。</w:t>
      </w:r>
    </w:p>
    <w:p w14:paraId="53799D26">
      <w:pPr>
        <w:ind w:firstLine="480"/>
      </w:pPr>
      <w:r>
        <w:rPr>
          <w:rFonts w:hint="eastAsia"/>
          <w:color w:val="000000" w:themeColor="text1"/>
          <w14:textFill>
            <w14:solidFill>
              <w14:schemeClr w14:val="tx1"/>
            </w14:solidFill>
          </w14:textFill>
        </w:rPr>
        <w:t>本文通过迁移学习来解决缺乏高质量、标准化标签的临床心电数据的建模难题，构建了多源融合的心源性猝死风险预测模型，对心源性猝死的预测提供了可参考的技术方案，也为多源融合方法在心血管疾病风险预测</w:t>
      </w:r>
      <w:r>
        <w:rPr>
          <w:rFonts w:hint="eastAsia"/>
        </w:rPr>
        <w:t>中的应用提供了新思路。</w:t>
      </w:r>
    </w:p>
    <w:p w14:paraId="7B8EA0C7">
      <w:pPr>
        <w:spacing w:before="156"/>
        <w:ind w:firstLine="482"/>
        <w:rPr>
          <w:color w:val="000000" w:themeColor="text1"/>
          <w14:textFill>
            <w14:solidFill>
              <w14:schemeClr w14:val="tx1"/>
            </w14:solidFill>
          </w14:textFill>
        </w:rPr>
      </w:pPr>
      <w:r>
        <w:rPr>
          <w:rFonts w:hint="eastAsia" w:ascii="黑体" w:hAnsi="黑体" w:eastAsia="黑体" w:cs="黑体"/>
          <w:b/>
          <w:bCs/>
        </w:rPr>
        <w:t>关键词</w:t>
      </w:r>
      <w:r>
        <w:rPr>
          <w:b/>
          <w:bCs/>
        </w:rPr>
        <w:t>：</w:t>
      </w:r>
      <w:r>
        <w:rPr>
          <w:color w:val="000000" w:themeColor="text1"/>
          <w14:textFill>
            <w14:solidFill>
              <w14:schemeClr w14:val="tx1"/>
            </w14:solidFill>
          </w14:textFill>
        </w:rPr>
        <w:t>心源性猝死</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迁移学习；多源特征融合；XGBoost；风险</w:t>
      </w:r>
      <w:r>
        <w:rPr>
          <w:rFonts w:hint="eastAsia"/>
          <w:color w:val="000000" w:themeColor="text1"/>
          <w14:textFill>
            <w14:solidFill>
              <w14:schemeClr w14:val="tx1"/>
            </w14:solidFill>
          </w14:textFill>
        </w:rPr>
        <w:t>预测</w:t>
      </w:r>
    </w:p>
    <w:p w14:paraId="29BAFAAA">
      <w:pPr>
        <w:pStyle w:val="2"/>
        <w:sectPr>
          <w:footerReference r:id="rId11" w:type="default"/>
          <w:pgSz w:w="11906" w:h="16838"/>
          <w:pgMar w:top="1440" w:right="1797" w:bottom="1440" w:left="1797" w:header="851" w:footer="992" w:gutter="0"/>
          <w:pgNumType w:fmt="upperRoman" w:start="1"/>
          <w:cols w:space="0" w:num="1"/>
          <w:rtlGutter w:val="0"/>
          <w:docGrid w:type="lines" w:linePitch="312" w:charSpace="0"/>
        </w:sectPr>
      </w:pPr>
    </w:p>
    <w:sdt>
      <w:sdtPr>
        <w:rPr>
          <w:rFonts w:ascii="宋体" w:hAnsi="宋体"/>
          <w:b/>
          <w:bCs/>
          <w:sz w:val="24"/>
          <w:szCs w:val="28"/>
        </w:rPr>
        <w:id w:val="147478859"/>
        <w15:color w:val="DBDBDB"/>
        <w:docPartObj>
          <w:docPartGallery w:val="Table of Contents"/>
          <w:docPartUnique/>
        </w:docPartObj>
      </w:sdtPr>
      <w:sdtEndPr>
        <w:rPr>
          <w:rFonts w:hint="eastAsia" w:ascii="宋体" w:hAnsi="宋体" w:eastAsia="宋体" w:cs="宋体"/>
          <w:b/>
          <w:bCs/>
          <w:sz w:val="24"/>
          <w:szCs w:val="24"/>
        </w:rPr>
      </w:sdtEndPr>
      <w:sdtContent>
        <w:p w14:paraId="064311C6">
          <w:pPr>
            <w:keepNext w:val="0"/>
            <w:keepLines w:val="0"/>
            <w:pageBreakBefore w:val="0"/>
            <w:widowControl w:val="0"/>
            <w:kinsoku/>
            <w:wordWrap/>
            <w:overflowPunct/>
            <w:topLinePunct w:val="0"/>
            <w:autoSpaceDE/>
            <w:autoSpaceDN/>
            <w:bidi w:val="0"/>
            <w:adjustRightInd/>
            <w:snapToGrid/>
            <w:spacing w:line="480" w:lineRule="exact"/>
            <w:ind w:firstLine="480"/>
            <w:jc w:val="center"/>
            <w:textAlignment w:val="auto"/>
            <w:rPr>
              <w:rFonts w:hint="eastAsia" w:ascii="宋体" w:hAnsi="宋体" w:eastAsia="宋体" w:cs="宋体"/>
              <w:kern w:val="2"/>
              <w:sz w:val="24"/>
              <w:szCs w:val="24"/>
              <w:lang w:val="en-US" w:eastAsia="zh-CN" w:bidi="ar-SA"/>
            </w:rPr>
          </w:pPr>
          <w:r>
            <w:rPr>
              <w:rFonts w:hint="eastAsia" w:ascii="黑体" w:hAnsi="黑体" w:eastAsia="黑体" w:cs="黑体"/>
              <w:b/>
              <w:bCs/>
              <w:sz w:val="28"/>
              <w:szCs w:val="28"/>
            </w:rPr>
            <w:t>目录</w:t>
          </w:r>
          <w:r>
            <w:rPr>
              <w:rFonts w:hint="eastAsia" w:ascii="宋体" w:hAnsi="宋体" w:eastAsia="宋体" w:cs="宋体"/>
              <w:szCs w:val="24"/>
            </w:rPr>
            <w:fldChar w:fldCharType="begin"/>
          </w:r>
          <w:r>
            <w:rPr>
              <w:rFonts w:hint="eastAsia" w:ascii="宋体" w:hAnsi="宋体" w:eastAsia="宋体" w:cs="宋体"/>
              <w:szCs w:val="24"/>
            </w:rPr>
            <w:instrText xml:space="preserve">TOC \o "1-2" \h \u </w:instrText>
          </w:r>
          <w:r>
            <w:rPr>
              <w:rFonts w:hint="eastAsia" w:ascii="宋体" w:hAnsi="宋体" w:eastAsia="宋体" w:cs="宋体"/>
              <w:szCs w:val="24"/>
            </w:rPr>
            <w:fldChar w:fldCharType="separate"/>
          </w:r>
        </w:p>
        <w:p w14:paraId="1DDEB96B">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_Toc1958 </w:instrText>
          </w:r>
          <w:r>
            <w:rPr>
              <w:rFonts w:hint="eastAsia" w:ascii="宋体" w:hAnsi="宋体" w:eastAsia="宋体" w:cs="宋体"/>
              <w:szCs w:val="24"/>
            </w:rPr>
            <w:fldChar w:fldCharType="separate"/>
          </w:r>
          <w:r>
            <w:rPr>
              <w:rFonts w:hint="eastAsia" w:ascii="宋体" w:hAnsi="宋体" w:eastAsia="宋体" w:cs="宋体"/>
              <w:szCs w:val="28"/>
            </w:rPr>
            <w:t>摘要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_Toc1958 \h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r>
            <w:rPr>
              <w:rFonts w:hint="eastAsia" w:ascii="宋体" w:hAnsi="宋体" w:eastAsia="宋体" w:cs="宋体"/>
              <w:szCs w:val="24"/>
            </w:rPr>
            <w:fldChar w:fldCharType="end"/>
          </w:r>
        </w:p>
        <w:p w14:paraId="2FE13C10">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_Toc8683 </w:instrText>
          </w:r>
          <w:r>
            <w:rPr>
              <w:rFonts w:hint="eastAsia" w:ascii="宋体" w:hAnsi="宋体" w:eastAsia="宋体" w:cs="宋体"/>
              <w:szCs w:val="24"/>
            </w:rPr>
            <w:fldChar w:fldCharType="separate"/>
          </w:r>
          <w:r>
            <w:rPr>
              <w:rFonts w:hint="eastAsia" w:ascii="宋体" w:hAnsi="宋体" w:eastAsia="宋体" w:cs="宋体"/>
            </w:rPr>
            <w:t>一、绪论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_Toc8683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663747E4">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_Toc18319 </w:instrText>
          </w:r>
          <w:r>
            <w:rPr>
              <w:rFonts w:hint="eastAsia" w:ascii="宋体" w:hAnsi="宋体" w:eastAsia="宋体" w:cs="宋体"/>
              <w:szCs w:val="24"/>
            </w:rPr>
            <w:fldChar w:fldCharType="separate"/>
          </w:r>
          <w:r>
            <w:rPr>
              <w:rFonts w:hint="eastAsia" w:ascii="宋体" w:hAnsi="宋体" w:eastAsia="宋体" w:cs="宋体"/>
            </w:rPr>
            <w:t>（一）研究背景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_Toc18319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0BBB5D01">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_Toc32766 </w:instrText>
          </w:r>
          <w:r>
            <w:rPr>
              <w:rFonts w:hint="eastAsia" w:ascii="宋体" w:hAnsi="宋体" w:eastAsia="宋体" w:cs="宋体"/>
              <w:szCs w:val="24"/>
            </w:rPr>
            <w:fldChar w:fldCharType="separate"/>
          </w:r>
          <w:r>
            <w:rPr>
              <w:rFonts w:hint="eastAsia" w:ascii="宋体" w:hAnsi="宋体" w:eastAsia="宋体" w:cs="宋体"/>
            </w:rPr>
            <w:t>（二）研究意义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_Toc32766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2DE4D405">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_Toc1682 </w:instrText>
          </w:r>
          <w:r>
            <w:rPr>
              <w:rFonts w:hint="eastAsia" w:ascii="宋体" w:hAnsi="宋体" w:eastAsia="宋体" w:cs="宋体"/>
              <w:szCs w:val="24"/>
            </w:rPr>
            <w:fldChar w:fldCharType="separate"/>
          </w:r>
          <w:r>
            <w:rPr>
              <w:rFonts w:hint="eastAsia" w:ascii="宋体" w:hAnsi="宋体" w:eastAsia="宋体" w:cs="宋体"/>
            </w:rPr>
            <w:t>（三）国内外研究现状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_Toc1682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szCs w:val="24"/>
            </w:rPr>
            <w:fldChar w:fldCharType="end"/>
          </w:r>
        </w:p>
        <w:p w14:paraId="1F7F8FA2">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_Toc8034 </w:instrText>
          </w:r>
          <w:r>
            <w:rPr>
              <w:rFonts w:hint="eastAsia" w:ascii="宋体" w:hAnsi="宋体" w:eastAsia="宋体" w:cs="宋体"/>
              <w:szCs w:val="24"/>
            </w:rPr>
            <w:fldChar w:fldCharType="separate"/>
          </w:r>
          <w:r>
            <w:rPr>
              <w:rFonts w:hint="eastAsia" w:ascii="宋体" w:hAnsi="宋体" w:eastAsia="宋体" w:cs="宋体"/>
            </w:rPr>
            <w:t>（四）研究内容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_Toc8034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rPr>
            <w:fldChar w:fldCharType="end"/>
          </w:r>
        </w:p>
        <w:p w14:paraId="04024560">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_Toc13558 </w:instrText>
          </w:r>
          <w:r>
            <w:rPr>
              <w:rFonts w:hint="eastAsia" w:ascii="宋体" w:hAnsi="宋体" w:eastAsia="宋体" w:cs="宋体"/>
              <w:szCs w:val="24"/>
            </w:rPr>
            <w:fldChar w:fldCharType="separate"/>
          </w:r>
          <w:r>
            <w:rPr>
              <w:rFonts w:hint="eastAsia" w:ascii="宋体" w:hAnsi="宋体" w:eastAsia="宋体" w:cs="宋体"/>
            </w:rPr>
            <w:t>（五）创新点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_Toc13558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szCs w:val="24"/>
            </w:rPr>
            <w:fldChar w:fldCharType="end"/>
          </w:r>
        </w:p>
        <w:p w14:paraId="6C19B1E7">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_Toc26711 </w:instrText>
          </w:r>
          <w:r>
            <w:rPr>
              <w:rFonts w:hint="eastAsia" w:ascii="宋体" w:hAnsi="宋体" w:eastAsia="宋体" w:cs="宋体"/>
              <w:szCs w:val="24"/>
            </w:rPr>
            <w:fldChar w:fldCharType="separate"/>
          </w:r>
          <w:r>
            <w:rPr>
              <w:rFonts w:hint="eastAsia" w:ascii="宋体" w:hAnsi="宋体" w:eastAsia="宋体" w:cs="宋体"/>
            </w:rPr>
            <w:t>（六）研究框架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_Toc26711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szCs w:val="24"/>
            </w:rPr>
            <w:fldChar w:fldCharType="end"/>
          </w:r>
        </w:p>
        <w:p w14:paraId="36F03497">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_Toc4936 </w:instrText>
          </w:r>
          <w:r>
            <w:rPr>
              <w:rFonts w:hint="eastAsia" w:ascii="宋体" w:hAnsi="宋体" w:eastAsia="宋体" w:cs="宋体"/>
              <w:szCs w:val="24"/>
            </w:rPr>
            <w:fldChar w:fldCharType="separate"/>
          </w:r>
          <w:r>
            <w:rPr>
              <w:rFonts w:hint="eastAsia" w:ascii="宋体" w:hAnsi="宋体" w:eastAsia="宋体" w:cs="宋体"/>
            </w:rPr>
            <w:t>二、相关理论基础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_Toc4936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rPr>
            <w:fldChar w:fldCharType="end"/>
          </w:r>
        </w:p>
        <w:p w14:paraId="37F53637">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_Toc24998 </w:instrText>
          </w:r>
          <w:r>
            <w:rPr>
              <w:rFonts w:hint="eastAsia" w:ascii="宋体" w:hAnsi="宋体" w:eastAsia="宋体" w:cs="宋体"/>
              <w:szCs w:val="24"/>
            </w:rPr>
            <w:fldChar w:fldCharType="separate"/>
          </w:r>
          <w:r>
            <w:rPr>
              <w:rFonts w:hint="eastAsia" w:ascii="宋体" w:hAnsi="宋体" w:eastAsia="宋体" w:cs="宋体"/>
            </w:rPr>
            <w:t>（一）心电信号基础知识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_Toc24998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rPr>
            <w:fldChar w:fldCharType="end"/>
          </w:r>
        </w:p>
        <w:p w14:paraId="27FC7800">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_Toc28074 </w:instrText>
          </w:r>
          <w:r>
            <w:rPr>
              <w:rFonts w:hint="eastAsia" w:ascii="宋体" w:hAnsi="宋体" w:eastAsia="宋体" w:cs="宋体"/>
              <w:szCs w:val="24"/>
            </w:rPr>
            <w:fldChar w:fldCharType="separate"/>
          </w:r>
          <w:r>
            <w:rPr>
              <w:rFonts w:hint="eastAsia" w:ascii="宋体" w:hAnsi="宋体" w:eastAsia="宋体" w:cs="宋体"/>
            </w:rPr>
            <w:t>（二）心源性猝死发生机制及相关因素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_Toc28074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szCs w:val="24"/>
            </w:rPr>
            <w:fldChar w:fldCharType="end"/>
          </w:r>
        </w:p>
        <w:p w14:paraId="422E06B7">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_Toc30266 </w:instrText>
          </w:r>
          <w:r>
            <w:rPr>
              <w:rFonts w:hint="eastAsia" w:ascii="宋体" w:hAnsi="宋体" w:eastAsia="宋体" w:cs="宋体"/>
              <w:szCs w:val="24"/>
            </w:rPr>
            <w:fldChar w:fldCharType="separate"/>
          </w:r>
          <w:r>
            <w:rPr>
              <w:rFonts w:hint="eastAsia" w:ascii="宋体" w:hAnsi="宋体" w:eastAsia="宋体" w:cs="宋体"/>
            </w:rPr>
            <w:t>（三）主要模型理论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_Toc30266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szCs w:val="24"/>
            </w:rPr>
            <w:fldChar w:fldCharType="end"/>
          </w:r>
        </w:p>
        <w:p w14:paraId="59C539F6">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_Toc24802 </w:instrText>
          </w:r>
          <w:r>
            <w:rPr>
              <w:rFonts w:hint="eastAsia" w:ascii="宋体" w:hAnsi="宋体" w:eastAsia="宋体" w:cs="宋体"/>
              <w:szCs w:val="24"/>
            </w:rPr>
            <w:fldChar w:fldCharType="separate"/>
          </w:r>
          <w:r>
            <w:rPr>
              <w:rFonts w:hint="eastAsia" w:ascii="宋体" w:hAnsi="宋体" w:eastAsia="宋体" w:cs="宋体"/>
            </w:rPr>
            <w:t>（四）数据处理与模型评估理论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_Toc24802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szCs w:val="24"/>
            </w:rPr>
            <w:fldChar w:fldCharType="end"/>
          </w:r>
        </w:p>
        <w:p w14:paraId="054A67BD">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_Toc13646 </w:instrText>
          </w:r>
          <w:r>
            <w:rPr>
              <w:rFonts w:hint="eastAsia" w:ascii="宋体" w:hAnsi="宋体" w:eastAsia="宋体" w:cs="宋体"/>
              <w:szCs w:val="24"/>
            </w:rPr>
            <w:fldChar w:fldCharType="separate"/>
          </w:r>
          <m:oMath>
            <m:r>
              <m:rPr>
                <m:sty m:val="p"/>
              </m:rPr>
              <w:rPr>
                <w:rFonts w:hint="eastAsia" w:ascii="Cambria Math" w:hAnsi="Cambria Math" w:eastAsia="宋体" w:cs="宋体"/>
              </w:rPr>
              <m:t>三、多源数据处理</m:t>
            </m:r>
          </m:oMath>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_Toc13646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szCs w:val="24"/>
            </w:rPr>
            <w:fldChar w:fldCharType="end"/>
          </w:r>
        </w:p>
        <w:p w14:paraId="6FBAC204">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_Toc22159 </w:instrText>
          </w:r>
          <w:r>
            <w:rPr>
              <w:rFonts w:hint="eastAsia" w:ascii="宋体" w:hAnsi="宋体" w:eastAsia="宋体" w:cs="宋体"/>
              <w:szCs w:val="24"/>
            </w:rPr>
            <w:fldChar w:fldCharType="separate"/>
          </w:r>
          <w:r>
            <w:rPr>
              <w:rFonts w:hint="eastAsia" w:ascii="宋体" w:hAnsi="宋体" w:eastAsia="宋体" w:cs="宋体"/>
            </w:rPr>
            <w:t>（一）数据整合与对齐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_Toc22159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szCs w:val="24"/>
            </w:rPr>
            <w:fldChar w:fldCharType="end"/>
          </w:r>
        </w:p>
        <w:p w14:paraId="6D275142">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_Toc17450 </w:instrText>
          </w:r>
          <w:r>
            <w:rPr>
              <w:rFonts w:hint="eastAsia" w:ascii="宋体" w:hAnsi="宋体" w:eastAsia="宋体" w:cs="宋体"/>
              <w:szCs w:val="24"/>
            </w:rPr>
            <w:fldChar w:fldCharType="separate"/>
          </w:r>
          <w:r>
            <w:rPr>
              <w:rFonts w:hint="eastAsia" w:ascii="宋体" w:hAnsi="宋体" w:eastAsia="宋体" w:cs="宋体"/>
            </w:rPr>
            <w:t>（二）特征工程与标签构建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_Toc17450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szCs w:val="24"/>
            </w:rPr>
            <w:fldChar w:fldCharType="end"/>
          </w:r>
        </w:p>
        <w:p w14:paraId="028BBD28">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_Toc16501 </w:instrText>
          </w:r>
          <w:r>
            <w:rPr>
              <w:rFonts w:hint="eastAsia" w:ascii="宋体" w:hAnsi="宋体" w:eastAsia="宋体" w:cs="宋体"/>
              <w:szCs w:val="24"/>
            </w:rPr>
            <w:fldChar w:fldCharType="separate"/>
          </w:r>
          <w:r>
            <w:rPr>
              <w:rFonts w:hint="eastAsia" w:ascii="宋体" w:hAnsi="宋体" w:eastAsia="宋体" w:cs="宋体"/>
            </w:rPr>
            <w:t>（三）缺失值处理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_Toc16501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szCs w:val="24"/>
            </w:rPr>
            <w:fldChar w:fldCharType="end"/>
          </w:r>
        </w:p>
        <w:p w14:paraId="3F4AA8AE">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_Toc4276 </w:instrText>
          </w:r>
          <w:r>
            <w:rPr>
              <w:rFonts w:hint="eastAsia" w:ascii="宋体" w:hAnsi="宋体" w:eastAsia="宋体" w:cs="宋体"/>
              <w:szCs w:val="24"/>
            </w:rPr>
            <w:fldChar w:fldCharType="separate"/>
          </w:r>
          <w:r>
            <w:rPr>
              <w:rFonts w:hint="eastAsia" w:ascii="宋体" w:hAnsi="宋体" w:eastAsia="宋体" w:cs="宋体"/>
            </w:rPr>
            <w:t>（四）融合特征工程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_Toc4276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szCs w:val="24"/>
            </w:rPr>
            <w:fldChar w:fldCharType="end"/>
          </w:r>
        </w:p>
        <w:p w14:paraId="7824B46E">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_Toc21315 </w:instrText>
          </w:r>
          <w:r>
            <w:rPr>
              <w:rFonts w:hint="eastAsia" w:ascii="宋体" w:hAnsi="宋体" w:eastAsia="宋体" w:cs="宋体"/>
              <w:szCs w:val="24"/>
            </w:rPr>
            <w:fldChar w:fldCharType="separate"/>
          </w:r>
          <w:r>
            <w:rPr>
              <w:rFonts w:hint="eastAsia" w:ascii="宋体" w:hAnsi="宋体" w:eastAsia="宋体" w:cs="宋体"/>
            </w:rPr>
            <w:t>（五）候选特征筛选与降维处理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_Toc21315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szCs w:val="24"/>
            </w:rPr>
            <w:fldChar w:fldCharType="end"/>
          </w:r>
        </w:p>
        <w:p w14:paraId="14A3B855">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_Toc10656 </w:instrText>
          </w:r>
          <w:r>
            <w:rPr>
              <w:rFonts w:hint="eastAsia" w:ascii="宋体" w:hAnsi="宋体" w:eastAsia="宋体" w:cs="宋体"/>
              <w:szCs w:val="24"/>
            </w:rPr>
            <w:fldChar w:fldCharType="separate"/>
          </w:r>
          <w:r>
            <w:rPr>
              <w:rFonts w:hint="eastAsia" w:ascii="宋体" w:hAnsi="宋体" w:eastAsia="宋体" w:cs="宋体"/>
            </w:rPr>
            <w:t>四、基于TCN的心电风险迁移建模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_Toc10656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4"/>
            </w:rPr>
            <w:fldChar w:fldCharType="end"/>
          </w:r>
        </w:p>
        <w:p w14:paraId="2104CC37">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_Toc25760 </w:instrText>
          </w:r>
          <w:r>
            <w:rPr>
              <w:rFonts w:hint="eastAsia" w:ascii="宋体" w:hAnsi="宋体" w:eastAsia="宋体" w:cs="宋体"/>
              <w:szCs w:val="24"/>
            </w:rPr>
            <w:fldChar w:fldCharType="separate"/>
          </w:r>
          <w:r>
            <w:rPr>
              <w:rFonts w:hint="eastAsia" w:ascii="宋体" w:hAnsi="宋体" w:eastAsia="宋体" w:cs="宋体"/>
            </w:rPr>
            <w:t>（一）外部心电数据风险模式学习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_Toc25760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4"/>
            </w:rPr>
            <w:fldChar w:fldCharType="end"/>
          </w:r>
        </w:p>
        <w:p w14:paraId="65649CB1">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_Toc28874 </w:instrText>
          </w:r>
          <w:r>
            <w:rPr>
              <w:rFonts w:hint="eastAsia" w:ascii="宋体" w:hAnsi="宋体" w:eastAsia="宋体" w:cs="宋体"/>
              <w:szCs w:val="24"/>
            </w:rPr>
            <w:fldChar w:fldCharType="separate"/>
          </w:r>
          <w:r>
            <w:rPr>
              <w:rFonts w:hint="eastAsia" w:ascii="宋体" w:hAnsi="宋体" w:eastAsia="宋体" w:cs="宋体"/>
            </w:rPr>
            <w:t>（二）TCN模型结构与源域识别结果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_Toc28874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szCs w:val="24"/>
            </w:rPr>
            <w:fldChar w:fldCharType="end"/>
          </w:r>
        </w:p>
        <w:p w14:paraId="4509D7EE">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_Toc28283 </w:instrText>
          </w:r>
          <w:r>
            <w:rPr>
              <w:rFonts w:hint="eastAsia" w:ascii="宋体" w:hAnsi="宋体" w:eastAsia="宋体" w:cs="宋体"/>
              <w:szCs w:val="24"/>
            </w:rPr>
            <w:fldChar w:fldCharType="separate"/>
          </w:r>
          <w:r>
            <w:rPr>
              <w:rFonts w:hint="eastAsia" w:ascii="宋体" w:hAnsi="宋体" w:eastAsia="宋体" w:cs="宋体"/>
            </w:rPr>
            <w:t>（三）心电高危表型强度的目标域迁移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_Toc28283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szCs w:val="24"/>
            </w:rPr>
            <w:fldChar w:fldCharType="end"/>
          </w:r>
        </w:p>
        <w:p w14:paraId="2CB9D7F0">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_Toc16841 </w:instrText>
          </w:r>
          <w:r>
            <w:rPr>
              <w:rFonts w:hint="eastAsia" w:ascii="宋体" w:hAnsi="宋体" w:eastAsia="宋体" w:cs="宋体"/>
              <w:szCs w:val="24"/>
            </w:rPr>
            <w:fldChar w:fldCharType="separate"/>
          </w:r>
          <w:r>
            <w:rPr>
              <w:rFonts w:hint="eastAsia" w:ascii="宋体" w:hAnsi="宋体" w:eastAsia="宋体" w:cs="宋体"/>
            </w:rPr>
            <w:t>（四）心电表征的独立性能与多源融合价值</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_Toc16841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szCs w:val="24"/>
            </w:rPr>
            <w:fldChar w:fldCharType="end"/>
          </w:r>
        </w:p>
        <w:p w14:paraId="37D1DDF4">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_Toc2542 </w:instrText>
          </w:r>
          <w:r>
            <w:rPr>
              <w:rFonts w:hint="eastAsia" w:ascii="宋体" w:hAnsi="宋体" w:eastAsia="宋体" w:cs="宋体"/>
              <w:szCs w:val="24"/>
            </w:rPr>
            <w:fldChar w:fldCharType="separate"/>
          </w:r>
          <w:r>
            <w:rPr>
              <w:rFonts w:hint="eastAsia" w:ascii="宋体" w:hAnsi="宋体" w:eastAsia="宋体" w:cs="宋体"/>
            </w:rPr>
            <w:t>五、多源特征融合下的近期高危风险预测模型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_Toc2542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rPr>
            <w:fldChar w:fldCharType="end"/>
          </w:r>
        </w:p>
        <w:p w14:paraId="7B012F7A">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_Toc13759 </w:instrText>
          </w:r>
          <w:r>
            <w:rPr>
              <w:rFonts w:hint="eastAsia" w:ascii="宋体" w:hAnsi="宋体" w:eastAsia="宋体" w:cs="宋体"/>
              <w:szCs w:val="24"/>
            </w:rPr>
            <w:fldChar w:fldCharType="separate"/>
          </w:r>
          <w:r>
            <w:rPr>
              <w:rFonts w:hint="eastAsia" w:ascii="宋体" w:hAnsi="宋体" w:eastAsia="宋体" w:cs="宋体"/>
            </w:rPr>
            <w:t>（一）多源融合模型构建与特征体系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_Toc13759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szCs w:val="24"/>
            </w:rPr>
            <w:fldChar w:fldCharType="end"/>
          </w:r>
        </w:p>
        <w:p w14:paraId="433F2CFF">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_Toc1597 </w:instrText>
          </w:r>
          <w:r>
            <w:rPr>
              <w:rFonts w:hint="eastAsia" w:ascii="宋体" w:hAnsi="宋体" w:eastAsia="宋体" w:cs="宋体"/>
              <w:szCs w:val="24"/>
            </w:rPr>
            <w:fldChar w:fldCharType="separate"/>
          </w:r>
          <w:r>
            <w:rPr>
              <w:rFonts w:hint="eastAsia" w:ascii="宋体" w:hAnsi="宋体" w:eastAsia="宋体" w:cs="宋体"/>
            </w:rPr>
            <w:t>（二）模型预测性能与特征消融分析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_Toc1597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szCs w:val="24"/>
            </w:rPr>
            <w:fldChar w:fldCharType="end"/>
          </w:r>
        </w:p>
        <w:p w14:paraId="05750F68">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_Toc14055 </w:instrText>
          </w:r>
          <w:r>
            <w:rPr>
              <w:rFonts w:hint="eastAsia" w:ascii="宋体" w:hAnsi="宋体" w:eastAsia="宋体" w:cs="宋体"/>
              <w:szCs w:val="24"/>
            </w:rPr>
            <w:fldChar w:fldCharType="separate"/>
          </w:r>
          <w:r>
            <w:rPr>
              <w:rFonts w:hint="eastAsia" w:ascii="宋体" w:hAnsi="宋体" w:eastAsia="宋体" w:cs="宋体"/>
            </w:rPr>
            <w:t>（三）稳定性验证与风险分层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_Toc14055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szCs w:val="24"/>
            </w:rPr>
            <w:fldChar w:fldCharType="end"/>
          </w:r>
        </w:p>
        <w:p w14:paraId="4A4FEEA3">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_Toc9388 </w:instrText>
          </w:r>
          <w:r>
            <w:rPr>
              <w:rFonts w:hint="eastAsia" w:ascii="宋体" w:hAnsi="宋体" w:eastAsia="宋体" w:cs="宋体"/>
              <w:szCs w:val="24"/>
            </w:rPr>
            <w:fldChar w:fldCharType="separate"/>
          </w:r>
          <w:r>
            <w:rPr>
              <w:rFonts w:hint="eastAsia" w:ascii="宋体" w:hAnsi="宋体" w:eastAsia="宋体" w:cs="宋体"/>
            </w:rPr>
            <w:t>（四）模型解释与校准分析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_Toc9388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szCs w:val="24"/>
            </w:rPr>
            <w:fldChar w:fldCharType="end"/>
          </w:r>
        </w:p>
        <w:p w14:paraId="650047ED">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_Toc27007 </w:instrText>
          </w:r>
          <w:r>
            <w:rPr>
              <w:rFonts w:hint="eastAsia" w:ascii="宋体" w:hAnsi="宋体" w:eastAsia="宋体" w:cs="宋体"/>
              <w:szCs w:val="24"/>
            </w:rPr>
            <w:fldChar w:fldCharType="separate"/>
          </w:r>
          <w:r>
            <w:rPr>
              <w:rFonts w:hint="eastAsia" w:ascii="宋体" w:hAnsi="宋体" w:eastAsia="宋体" w:cs="宋体"/>
            </w:rPr>
            <w:t>六、结论与展望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_Toc27007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szCs w:val="24"/>
            </w:rPr>
            <w:fldChar w:fldCharType="end"/>
          </w:r>
        </w:p>
        <w:p w14:paraId="0E8E8C1A">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_Toc2127 </w:instrText>
          </w:r>
          <w:r>
            <w:rPr>
              <w:rFonts w:hint="eastAsia" w:ascii="宋体" w:hAnsi="宋体" w:eastAsia="宋体" w:cs="宋体"/>
              <w:szCs w:val="24"/>
            </w:rPr>
            <w:fldChar w:fldCharType="separate"/>
          </w:r>
          <w:r>
            <w:rPr>
              <w:rFonts w:hint="eastAsia" w:ascii="宋体" w:hAnsi="宋体" w:eastAsia="宋体" w:cs="宋体"/>
            </w:rPr>
            <w:t>（一）研究结论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_Toc2127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szCs w:val="24"/>
            </w:rPr>
            <w:fldChar w:fldCharType="end"/>
          </w:r>
        </w:p>
        <w:p w14:paraId="2ACDE3B9">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_Toc23797 </w:instrText>
          </w:r>
          <w:r>
            <w:rPr>
              <w:rFonts w:hint="eastAsia" w:ascii="宋体" w:hAnsi="宋体" w:eastAsia="宋体" w:cs="宋体"/>
              <w:szCs w:val="24"/>
            </w:rPr>
            <w:fldChar w:fldCharType="separate"/>
          </w:r>
          <w:r>
            <w:rPr>
              <w:rFonts w:hint="eastAsia" w:ascii="宋体" w:hAnsi="宋体" w:eastAsia="宋体" w:cs="宋体"/>
            </w:rPr>
            <w:t>（二）研究不足</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_Toc23797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szCs w:val="24"/>
            </w:rPr>
            <w:fldChar w:fldCharType="end"/>
          </w:r>
        </w:p>
        <w:p w14:paraId="58BF9661">
          <w:pPr>
            <w:pStyle w:val="14"/>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_Toc8440 </w:instrText>
          </w:r>
          <w:r>
            <w:rPr>
              <w:rFonts w:hint="eastAsia" w:ascii="宋体" w:hAnsi="宋体" w:eastAsia="宋体" w:cs="宋体"/>
              <w:szCs w:val="24"/>
            </w:rPr>
            <w:fldChar w:fldCharType="separate"/>
          </w:r>
          <w:r>
            <w:rPr>
              <w:rFonts w:hint="eastAsia" w:ascii="宋体" w:hAnsi="宋体" w:eastAsia="宋体" w:cs="宋体"/>
            </w:rPr>
            <w:t>（三）未来展望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_Toc8440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szCs w:val="24"/>
            </w:rPr>
            <w:fldChar w:fldCharType="end"/>
          </w:r>
        </w:p>
        <w:p w14:paraId="42FA73A6">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_Toc20349 </w:instrText>
          </w:r>
          <w:r>
            <w:rPr>
              <w:rFonts w:hint="eastAsia" w:ascii="宋体" w:hAnsi="宋体" w:eastAsia="宋体" w:cs="宋体"/>
              <w:szCs w:val="24"/>
            </w:rPr>
            <w:fldChar w:fldCharType="separate"/>
          </w:r>
          <w:r>
            <w:rPr>
              <w:rFonts w:hint="eastAsia" w:ascii="宋体" w:hAnsi="宋体" w:eastAsia="宋体" w:cs="宋体"/>
              <w:szCs w:val="28"/>
            </w:rPr>
            <w:t>参考文献</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_Toc20349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szCs w:val="24"/>
            </w:rPr>
            <w:fldChar w:fldCharType="end"/>
          </w:r>
        </w:p>
        <w:p w14:paraId="5DC41AB7">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_Toc21231 </w:instrText>
          </w:r>
          <w:r>
            <w:rPr>
              <w:rFonts w:hint="eastAsia" w:ascii="宋体" w:hAnsi="宋体" w:eastAsia="宋体" w:cs="宋体"/>
              <w:szCs w:val="24"/>
            </w:rPr>
            <w:fldChar w:fldCharType="separate"/>
          </w:r>
          <w:r>
            <w:rPr>
              <w:rFonts w:hint="eastAsia" w:ascii="宋体" w:hAnsi="宋体" w:eastAsia="宋体" w:cs="宋体"/>
              <w:szCs w:val="28"/>
            </w:rPr>
            <w:t>附录：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_Toc21231 \h </w:instrText>
          </w:r>
          <w:r>
            <w:rPr>
              <w:rFonts w:hint="eastAsia" w:ascii="宋体" w:hAnsi="宋体" w:eastAsia="宋体" w:cs="宋体"/>
            </w:rPr>
            <w:fldChar w:fldCharType="separate"/>
          </w:r>
          <w:r>
            <w:rPr>
              <w:rFonts w:hint="eastAsia" w:ascii="宋体" w:hAnsi="宋体" w:eastAsia="宋体" w:cs="宋体"/>
            </w:rPr>
            <w:t>35</w:t>
          </w:r>
          <w:r>
            <w:rPr>
              <w:rFonts w:hint="eastAsia" w:ascii="宋体" w:hAnsi="宋体" w:eastAsia="宋体" w:cs="宋体"/>
            </w:rPr>
            <w:fldChar w:fldCharType="end"/>
          </w:r>
          <w:r>
            <w:rPr>
              <w:rFonts w:hint="eastAsia" w:ascii="宋体" w:hAnsi="宋体" w:eastAsia="宋体" w:cs="宋体"/>
              <w:szCs w:val="24"/>
            </w:rPr>
            <w:fldChar w:fldCharType="end"/>
          </w:r>
        </w:p>
        <w:p w14:paraId="6A49BB53">
          <w:pPr>
            <w:pStyle w:val="12"/>
            <w:keepNext w:val="0"/>
            <w:keepLines w:val="0"/>
            <w:pageBreakBefore w:val="0"/>
            <w:widowControl w:val="0"/>
            <w:tabs>
              <w:tab w:val="right" w:leader="dot" w:pos="8306"/>
            </w:tabs>
            <w:kinsoku/>
            <w:wordWrap/>
            <w:overflowPunct/>
            <w:topLinePunct w:val="0"/>
            <w:autoSpaceDE/>
            <w:autoSpaceDN/>
            <w:bidi w:val="0"/>
            <w:adjustRightInd/>
            <w:snapToGrid/>
            <w:textAlignment w:val="auto"/>
            <w:rPr>
              <w:rFonts w:hint="eastAsia" w:ascii="宋体" w:hAnsi="宋体" w:eastAsia="宋体" w:cs="宋体"/>
            </w:rPr>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_Toc24457 </w:instrText>
          </w:r>
          <w:r>
            <w:rPr>
              <w:rFonts w:hint="eastAsia" w:ascii="宋体" w:hAnsi="宋体" w:eastAsia="宋体" w:cs="宋体"/>
              <w:szCs w:val="24"/>
            </w:rPr>
            <w:fldChar w:fldCharType="separate"/>
          </w:r>
          <w:r>
            <w:rPr>
              <w:rFonts w:hint="eastAsia" w:ascii="宋体" w:hAnsi="宋体" w:eastAsia="宋体" w:cs="宋体"/>
              <w:szCs w:val="28"/>
            </w:rPr>
            <w:t>致谢</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_Toc24457 \h </w:instrText>
          </w:r>
          <w:r>
            <w:rPr>
              <w:rFonts w:hint="eastAsia" w:ascii="宋体" w:hAnsi="宋体" w:eastAsia="宋体" w:cs="宋体"/>
            </w:rPr>
            <w:fldChar w:fldCharType="separate"/>
          </w:r>
          <w:r>
            <w:rPr>
              <w:rFonts w:hint="eastAsia" w:ascii="宋体" w:hAnsi="宋体" w:eastAsia="宋体" w:cs="宋体"/>
            </w:rPr>
            <w:t>41</w:t>
          </w:r>
          <w:r>
            <w:rPr>
              <w:rFonts w:hint="eastAsia" w:ascii="宋体" w:hAnsi="宋体" w:eastAsia="宋体" w:cs="宋体"/>
            </w:rPr>
            <w:fldChar w:fldCharType="end"/>
          </w:r>
          <w:r>
            <w:rPr>
              <w:rFonts w:hint="eastAsia" w:ascii="宋体" w:hAnsi="宋体" w:eastAsia="宋体" w:cs="宋体"/>
              <w:szCs w:val="24"/>
            </w:rPr>
            <w:fldChar w:fldCharType="end"/>
          </w:r>
        </w:p>
        <w:p w14:paraId="07CD1E97">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Cs w:val="24"/>
            </w:rPr>
          </w:pPr>
          <w:r>
            <w:rPr>
              <w:rFonts w:hint="eastAsia" w:ascii="宋体" w:hAnsi="宋体" w:eastAsia="宋体" w:cs="宋体"/>
              <w:szCs w:val="24"/>
            </w:rPr>
            <w:fldChar w:fldCharType="end"/>
          </w:r>
        </w:p>
      </w:sdtContent>
    </w:sdt>
    <w:p w14:paraId="631B45B8">
      <w:pPr>
        <w:spacing w:line="240" w:lineRule="auto"/>
        <w:ind w:firstLine="480"/>
        <w:rPr>
          <w:rFonts w:hint="eastAsia" w:ascii="宋体" w:hAnsi="宋体" w:cs="宋体"/>
          <w:szCs w:val="24"/>
        </w:rPr>
      </w:pPr>
    </w:p>
    <w:p w14:paraId="284E8CE5">
      <w:pPr>
        <w:pStyle w:val="2"/>
        <w:jc w:val="center"/>
        <w:sectPr>
          <w:footerReference r:id="rId12" w:type="default"/>
          <w:pgSz w:w="11906" w:h="16838"/>
          <w:pgMar w:top="1440" w:right="1800" w:bottom="1440" w:left="1800" w:header="851" w:footer="992" w:gutter="0"/>
          <w:pgNumType w:fmt="upperRoman"/>
          <w:cols w:space="425" w:num="1"/>
          <w:docGrid w:type="lines" w:linePitch="312" w:charSpace="0"/>
        </w:sectPr>
      </w:pPr>
      <w:bookmarkStart w:id="3" w:name="_Toc4116"/>
    </w:p>
    <w:p w14:paraId="687FF9FE">
      <w:pPr>
        <w:pStyle w:val="13"/>
        <w:tabs>
          <w:tab w:val="right" w:leader="dot" w:pos="8296"/>
        </w:tabs>
        <w:ind w:left="1040" w:hanging="560"/>
        <w:jc w:val="center"/>
      </w:pPr>
      <w:r>
        <w:rPr>
          <w:rFonts w:hint="eastAsia" w:ascii="黑体" w:hAnsi="黑体" w:eastAsia="黑体" w:cs="Times New Roman"/>
          <w:bCs/>
          <w:kern w:val="0"/>
          <w:sz w:val="28"/>
          <w:szCs w:val="28"/>
          <w:lang w:val="zh-CN"/>
        </w:rPr>
        <w:t>图目录</w:t>
      </w:r>
    </w:p>
    <w:p w14:paraId="10A66616">
      <w:pPr>
        <w:pStyle w:val="13"/>
        <w:tabs>
          <w:tab w:val="right" w:leader="dot" w:pos="8306"/>
        </w:tabs>
        <w:ind w:left="960" w:hanging="480"/>
      </w:pPr>
      <w:r>
        <w:fldChar w:fldCharType="begin"/>
      </w:r>
      <w:r>
        <w:instrText xml:space="preserve">TOC \h \c "图"</w:instrText>
      </w:r>
      <w:r>
        <w:fldChar w:fldCharType="separate"/>
      </w:r>
      <w:r>
        <w:fldChar w:fldCharType="begin"/>
      </w:r>
      <w:r>
        <w:instrText xml:space="preserve"> HYPERLINK \l "_Toc28239" </w:instrText>
      </w:r>
      <w:r>
        <w:fldChar w:fldCharType="separate"/>
      </w:r>
      <w:r>
        <w:t>图1</w:t>
      </w:r>
      <w:r>
        <w:rPr>
          <w:rFonts w:hint="eastAsia"/>
        </w:rPr>
        <w:t xml:space="preserve"> 研究框架图</w:t>
      </w:r>
      <w:r>
        <w:tab/>
      </w:r>
      <w:r>
        <w:fldChar w:fldCharType="begin"/>
      </w:r>
      <w:r>
        <w:instrText xml:space="preserve"> PAGEREF _Toc28239 \h </w:instrText>
      </w:r>
      <w:r>
        <w:fldChar w:fldCharType="separate"/>
      </w:r>
      <w:r>
        <w:t>4</w:t>
      </w:r>
      <w:r>
        <w:fldChar w:fldCharType="end"/>
      </w:r>
      <w:r>
        <w:fldChar w:fldCharType="end"/>
      </w:r>
    </w:p>
    <w:p w14:paraId="5AA7012E">
      <w:pPr>
        <w:pStyle w:val="13"/>
        <w:tabs>
          <w:tab w:val="right" w:leader="dot" w:pos="8306"/>
        </w:tabs>
        <w:ind w:left="960" w:hanging="480"/>
      </w:pPr>
      <w:r>
        <w:fldChar w:fldCharType="begin"/>
      </w:r>
      <w:r>
        <w:instrText xml:space="preserve"> HYPERLINK \l "_Toc11517" </w:instrText>
      </w:r>
      <w:r>
        <w:fldChar w:fldCharType="separate"/>
      </w:r>
      <w:r>
        <w:t xml:space="preserve">图2 </w:t>
      </w:r>
      <w:r>
        <w:rPr>
          <w:rFonts w:hint="eastAsia"/>
        </w:rPr>
        <w:t>准心电波形结构示意图</w:t>
      </w:r>
      <w:r>
        <w:tab/>
      </w:r>
      <w:r>
        <w:fldChar w:fldCharType="begin"/>
      </w:r>
      <w:r>
        <w:instrText xml:space="preserve"> PAGEREF _Toc11517 \h </w:instrText>
      </w:r>
      <w:r>
        <w:fldChar w:fldCharType="separate"/>
      </w:r>
      <w:r>
        <w:t>5</w:t>
      </w:r>
      <w:r>
        <w:fldChar w:fldCharType="end"/>
      </w:r>
      <w:r>
        <w:fldChar w:fldCharType="end"/>
      </w:r>
    </w:p>
    <w:p w14:paraId="53E51B79">
      <w:pPr>
        <w:pStyle w:val="13"/>
        <w:tabs>
          <w:tab w:val="right" w:leader="dot" w:pos="8306"/>
        </w:tabs>
        <w:ind w:left="960" w:hanging="480"/>
      </w:pPr>
      <w:r>
        <w:fldChar w:fldCharType="begin"/>
      </w:r>
      <w:r>
        <w:instrText xml:space="preserve"> HYPERLINK \l "_Toc11151" </w:instrText>
      </w:r>
      <w:r>
        <w:fldChar w:fldCharType="separate"/>
      </w:r>
      <w:r>
        <w:t xml:space="preserve">图3 </w:t>
      </w:r>
      <w:r>
        <w:rPr>
          <w:rFonts w:hint="eastAsia"/>
        </w:rPr>
        <w:t>TCN因果卷积与空洞卷积结构示意图</w:t>
      </w:r>
      <w:r>
        <w:tab/>
      </w:r>
      <w:r>
        <w:fldChar w:fldCharType="begin"/>
      </w:r>
      <w:r>
        <w:instrText xml:space="preserve"> PAGEREF _Toc11151 \h </w:instrText>
      </w:r>
      <w:r>
        <w:fldChar w:fldCharType="separate"/>
      </w:r>
      <w:r>
        <w:t>7</w:t>
      </w:r>
      <w:r>
        <w:fldChar w:fldCharType="end"/>
      </w:r>
      <w:r>
        <w:fldChar w:fldCharType="end"/>
      </w:r>
    </w:p>
    <w:p w14:paraId="175BE207">
      <w:pPr>
        <w:pStyle w:val="13"/>
        <w:tabs>
          <w:tab w:val="right" w:leader="dot" w:pos="8306"/>
        </w:tabs>
        <w:ind w:left="960" w:hanging="480"/>
      </w:pPr>
      <w:r>
        <w:fldChar w:fldCharType="begin"/>
      </w:r>
      <w:r>
        <w:instrText xml:space="preserve"> HYPERLINK \l "_Toc20257" </w:instrText>
      </w:r>
      <w:r>
        <w:fldChar w:fldCharType="separate"/>
      </w:r>
      <w:r>
        <w:t xml:space="preserve">图4 </w:t>
      </w:r>
      <w:r>
        <w:rPr>
          <w:rFonts w:hint="eastAsia"/>
        </w:rPr>
        <w:t>数据处理与特征工程的核心流程</w:t>
      </w:r>
      <w:r>
        <w:tab/>
      </w:r>
      <w:r>
        <w:fldChar w:fldCharType="begin"/>
      </w:r>
      <w:r>
        <w:instrText xml:space="preserve"> PAGEREF _Toc20257 \h </w:instrText>
      </w:r>
      <w:r>
        <w:fldChar w:fldCharType="separate"/>
      </w:r>
      <w:r>
        <w:t>10</w:t>
      </w:r>
      <w:r>
        <w:fldChar w:fldCharType="end"/>
      </w:r>
      <w:r>
        <w:fldChar w:fldCharType="end"/>
      </w:r>
    </w:p>
    <w:p w14:paraId="3AFADDB1">
      <w:pPr>
        <w:pStyle w:val="13"/>
        <w:tabs>
          <w:tab w:val="right" w:leader="dot" w:pos="8306"/>
        </w:tabs>
        <w:ind w:left="960" w:hanging="480"/>
      </w:pPr>
      <w:r>
        <w:fldChar w:fldCharType="begin"/>
      </w:r>
      <w:r>
        <w:instrText xml:space="preserve"> HYPERLINK \l "_Toc27016" </w:instrText>
      </w:r>
      <w:r>
        <w:fldChar w:fldCharType="separate"/>
      </w:r>
      <w:r>
        <w:t xml:space="preserve">图5 </w:t>
      </w:r>
      <w:r>
        <w:rPr>
          <w:rFonts w:hint="eastAsia"/>
        </w:rPr>
        <w:t>源域ECG片段预处理示例</w:t>
      </w:r>
      <w:r>
        <w:tab/>
      </w:r>
      <w:r>
        <w:fldChar w:fldCharType="begin"/>
      </w:r>
      <w:r>
        <w:instrText xml:space="preserve"> PAGEREF _Toc27016 \h </w:instrText>
      </w:r>
      <w:r>
        <w:fldChar w:fldCharType="separate"/>
      </w:r>
      <w:r>
        <w:t>16</w:t>
      </w:r>
      <w:r>
        <w:fldChar w:fldCharType="end"/>
      </w:r>
      <w:r>
        <w:fldChar w:fldCharType="end"/>
      </w:r>
    </w:p>
    <w:p w14:paraId="45179D27">
      <w:pPr>
        <w:pStyle w:val="13"/>
        <w:tabs>
          <w:tab w:val="right" w:leader="dot" w:pos="8306"/>
        </w:tabs>
        <w:ind w:left="960" w:hanging="480"/>
      </w:pPr>
      <w:r>
        <w:fldChar w:fldCharType="begin"/>
      </w:r>
      <w:r>
        <w:instrText xml:space="preserve"> HYPERLINK \l "_Toc24158" </w:instrText>
      </w:r>
      <w:r>
        <w:fldChar w:fldCharType="separate"/>
      </w:r>
      <w:r>
        <w:t xml:space="preserve">图6 </w:t>
      </w:r>
      <w:r>
        <w:rPr>
          <w:rFonts w:hint="eastAsia"/>
        </w:rPr>
        <w:t>TCN源域模型训练过程变化</w:t>
      </w:r>
      <w:r>
        <w:tab/>
      </w:r>
      <w:r>
        <w:fldChar w:fldCharType="begin"/>
      </w:r>
      <w:r>
        <w:instrText xml:space="preserve"> PAGEREF _Toc24158 \h </w:instrText>
      </w:r>
      <w:r>
        <w:fldChar w:fldCharType="separate"/>
      </w:r>
      <w:r>
        <w:t>17</w:t>
      </w:r>
      <w:r>
        <w:fldChar w:fldCharType="end"/>
      </w:r>
      <w:r>
        <w:fldChar w:fldCharType="end"/>
      </w:r>
    </w:p>
    <w:p w14:paraId="35F4B071">
      <w:pPr>
        <w:pStyle w:val="13"/>
        <w:tabs>
          <w:tab w:val="right" w:leader="dot" w:pos="8306"/>
        </w:tabs>
        <w:ind w:left="960" w:hanging="480"/>
      </w:pPr>
      <w:r>
        <w:fldChar w:fldCharType="begin"/>
      </w:r>
      <w:r>
        <w:instrText xml:space="preserve"> HYPERLINK \l "_Toc26906" </w:instrText>
      </w:r>
      <w:r>
        <w:fldChar w:fldCharType="separate"/>
      </w:r>
      <w:r>
        <w:t>图7</w:t>
      </w:r>
      <w:r>
        <w:rPr>
          <w:rFonts w:hint="eastAsia"/>
        </w:rPr>
        <w:t xml:space="preserve"> 源域TCN模型的ROC与PR曲线</w:t>
      </w:r>
      <w:r>
        <w:tab/>
      </w:r>
      <w:r>
        <w:fldChar w:fldCharType="begin"/>
      </w:r>
      <w:r>
        <w:instrText xml:space="preserve"> PAGEREF _Toc26906 \h </w:instrText>
      </w:r>
      <w:r>
        <w:fldChar w:fldCharType="separate"/>
      </w:r>
      <w:r>
        <w:t>17</w:t>
      </w:r>
      <w:r>
        <w:fldChar w:fldCharType="end"/>
      </w:r>
      <w:r>
        <w:fldChar w:fldCharType="end"/>
      </w:r>
    </w:p>
    <w:p w14:paraId="0721BFA3">
      <w:pPr>
        <w:pStyle w:val="13"/>
        <w:tabs>
          <w:tab w:val="right" w:leader="dot" w:pos="8306"/>
        </w:tabs>
        <w:ind w:left="960" w:hanging="480"/>
      </w:pPr>
      <w:r>
        <w:fldChar w:fldCharType="begin"/>
      </w:r>
      <w:r>
        <w:instrText xml:space="preserve"> HYPERLINK \l "_Toc21818" </w:instrText>
      </w:r>
      <w:r>
        <w:fldChar w:fldCharType="separate"/>
      </w:r>
      <w:r>
        <w:t>图8</w:t>
      </w:r>
      <w:r>
        <w:rPr>
          <w:rFonts w:hint="eastAsia"/>
        </w:rPr>
        <w:t xml:space="preserve"> 源域TCN模型分段级混淆矩阵</w:t>
      </w:r>
      <w:r>
        <w:tab/>
      </w:r>
      <w:r>
        <w:fldChar w:fldCharType="begin"/>
      </w:r>
      <w:r>
        <w:instrText xml:space="preserve"> PAGEREF _Toc21818 \h </w:instrText>
      </w:r>
      <w:r>
        <w:fldChar w:fldCharType="separate"/>
      </w:r>
      <w:r>
        <w:t>18</w:t>
      </w:r>
      <w:r>
        <w:fldChar w:fldCharType="end"/>
      </w:r>
      <w:r>
        <w:fldChar w:fldCharType="end"/>
      </w:r>
    </w:p>
    <w:p w14:paraId="34C188DD">
      <w:pPr>
        <w:pStyle w:val="13"/>
        <w:tabs>
          <w:tab w:val="right" w:leader="dot" w:pos="8306"/>
        </w:tabs>
        <w:ind w:left="960" w:hanging="480"/>
      </w:pPr>
      <w:r>
        <w:fldChar w:fldCharType="begin"/>
      </w:r>
      <w:r>
        <w:instrText xml:space="preserve"> HYPERLINK \l "_Toc16536" </w:instrText>
      </w:r>
      <w:r>
        <w:fldChar w:fldCharType="separate"/>
      </w:r>
      <w:r>
        <w:t>图9</w:t>
      </w:r>
      <w:r>
        <w:rPr>
          <w:rFonts w:hint="eastAsia"/>
        </w:rPr>
        <w:t xml:space="preserve"> XGBoost模型ROC曲线与PR曲线</w:t>
      </w:r>
      <w:r>
        <w:tab/>
      </w:r>
      <w:r>
        <w:fldChar w:fldCharType="begin"/>
      </w:r>
      <w:r>
        <w:instrText xml:space="preserve"> PAGEREF _Toc16536 \h </w:instrText>
      </w:r>
      <w:r>
        <w:fldChar w:fldCharType="separate"/>
      </w:r>
      <w:r>
        <w:t>23</w:t>
      </w:r>
      <w:r>
        <w:fldChar w:fldCharType="end"/>
      </w:r>
      <w:r>
        <w:fldChar w:fldCharType="end"/>
      </w:r>
    </w:p>
    <w:p w14:paraId="7FAC460C">
      <w:pPr>
        <w:pStyle w:val="13"/>
        <w:tabs>
          <w:tab w:val="right" w:leader="dot" w:pos="8306"/>
        </w:tabs>
        <w:ind w:left="960" w:hanging="480"/>
      </w:pPr>
      <w:r>
        <w:fldChar w:fldCharType="begin"/>
      </w:r>
      <w:r>
        <w:instrText xml:space="preserve"> HYPERLINK \l "_Toc329" </w:instrText>
      </w:r>
      <w:r>
        <w:fldChar w:fldCharType="separate"/>
      </w:r>
      <w:r>
        <w:t>图10</w:t>
      </w:r>
      <w:r>
        <w:rPr>
          <w:rFonts w:hint="eastAsia"/>
        </w:rPr>
        <w:t xml:space="preserve"> </w:t>
      </w:r>
      <w:r>
        <w:t>预测风险十分位分层的实际综合高风险率</w:t>
      </w:r>
      <w:r>
        <w:tab/>
      </w:r>
      <w:r>
        <w:fldChar w:fldCharType="begin"/>
      </w:r>
      <w:r>
        <w:instrText xml:space="preserve"> PAGEREF _Toc329 \h </w:instrText>
      </w:r>
      <w:r>
        <w:fldChar w:fldCharType="separate"/>
      </w:r>
      <w:r>
        <w:t>25</w:t>
      </w:r>
      <w:r>
        <w:fldChar w:fldCharType="end"/>
      </w:r>
      <w:r>
        <w:fldChar w:fldCharType="end"/>
      </w:r>
    </w:p>
    <w:p w14:paraId="0F082A4E">
      <w:pPr>
        <w:pStyle w:val="13"/>
        <w:tabs>
          <w:tab w:val="right" w:leader="dot" w:pos="8306"/>
        </w:tabs>
        <w:ind w:left="960" w:hanging="480"/>
      </w:pPr>
      <w:r>
        <w:fldChar w:fldCharType="begin"/>
      </w:r>
      <w:r>
        <w:instrText xml:space="preserve"> HYPERLINK \l "_Toc21453" </w:instrText>
      </w:r>
      <w:r>
        <w:fldChar w:fldCharType="separate"/>
      </w:r>
      <w:r>
        <w:t>图11</w:t>
      </w:r>
      <w:r>
        <w:rPr>
          <w:rFonts w:hint="eastAsia"/>
        </w:rPr>
        <w:t xml:space="preserve"> </w:t>
      </w:r>
      <w:r>
        <w:t>不同预测风险组的实际结局率</w:t>
      </w:r>
      <w:r>
        <w:tab/>
      </w:r>
      <w:r>
        <w:fldChar w:fldCharType="begin"/>
      </w:r>
      <w:r>
        <w:instrText xml:space="preserve"> PAGEREF _Toc21453 \h </w:instrText>
      </w:r>
      <w:r>
        <w:fldChar w:fldCharType="separate"/>
      </w:r>
      <w:r>
        <w:t>25</w:t>
      </w:r>
      <w:r>
        <w:fldChar w:fldCharType="end"/>
      </w:r>
      <w:r>
        <w:fldChar w:fldCharType="end"/>
      </w:r>
    </w:p>
    <w:p w14:paraId="474BB433">
      <w:pPr>
        <w:pStyle w:val="13"/>
        <w:tabs>
          <w:tab w:val="right" w:leader="dot" w:pos="8306"/>
        </w:tabs>
        <w:ind w:left="960" w:hanging="480"/>
      </w:pPr>
      <w:r>
        <w:fldChar w:fldCharType="begin"/>
      </w:r>
      <w:r>
        <w:instrText xml:space="preserve"> HYPERLINK \l "_Toc23375" </w:instrText>
      </w:r>
      <w:r>
        <w:fldChar w:fldCharType="separate"/>
      </w:r>
      <w:r>
        <w:t>图12</w:t>
      </w:r>
      <w:r>
        <w:rPr>
          <w:rFonts w:hint="eastAsia"/>
        </w:rPr>
        <w:t xml:space="preserve"> SHAP特征作用解释图</w:t>
      </w:r>
      <w:r>
        <w:tab/>
      </w:r>
      <w:r>
        <w:fldChar w:fldCharType="begin"/>
      </w:r>
      <w:r>
        <w:instrText xml:space="preserve"> PAGEREF _Toc23375 \h </w:instrText>
      </w:r>
      <w:r>
        <w:fldChar w:fldCharType="separate"/>
      </w:r>
      <w:r>
        <w:t>27</w:t>
      </w:r>
      <w:r>
        <w:fldChar w:fldCharType="end"/>
      </w:r>
      <w:r>
        <w:fldChar w:fldCharType="end"/>
      </w:r>
    </w:p>
    <w:p w14:paraId="3E4CD567">
      <w:pPr>
        <w:pStyle w:val="13"/>
        <w:tabs>
          <w:tab w:val="right" w:leader="dot" w:pos="8306"/>
        </w:tabs>
        <w:ind w:left="960" w:hanging="480"/>
      </w:pPr>
      <w:r>
        <w:fldChar w:fldCharType="begin"/>
      </w:r>
      <w:r>
        <w:instrText xml:space="preserve"> HYPERLINK \l "_Toc3393" </w:instrText>
      </w:r>
      <w:r>
        <w:fldChar w:fldCharType="separate"/>
      </w:r>
      <w:r>
        <w:t>图13</w:t>
      </w:r>
      <w:r>
        <w:rPr>
          <w:rFonts w:hint="eastAsia"/>
        </w:rPr>
        <w:t xml:space="preserve"> 综合高风险预测任务SHAP特征重要性图</w:t>
      </w:r>
      <w:r>
        <w:tab/>
      </w:r>
      <w:r>
        <w:fldChar w:fldCharType="begin"/>
      </w:r>
      <w:r>
        <w:instrText xml:space="preserve"> PAGEREF _Toc3393 \h </w:instrText>
      </w:r>
      <w:r>
        <w:fldChar w:fldCharType="separate"/>
      </w:r>
      <w:r>
        <w:t>28</w:t>
      </w:r>
      <w:r>
        <w:fldChar w:fldCharType="end"/>
      </w:r>
      <w:r>
        <w:fldChar w:fldCharType="end"/>
      </w:r>
    </w:p>
    <w:p w14:paraId="24A3B832">
      <w:pPr>
        <w:pStyle w:val="13"/>
        <w:tabs>
          <w:tab w:val="right" w:leader="dot" w:pos="8306"/>
        </w:tabs>
        <w:ind w:left="960" w:hanging="480"/>
      </w:pPr>
      <w:r>
        <w:fldChar w:fldCharType="begin"/>
      </w:r>
      <w:r>
        <w:instrText xml:space="preserve"> HYPERLINK \l "_Toc10917" </w:instrText>
      </w:r>
      <w:r>
        <w:fldChar w:fldCharType="separate"/>
      </w:r>
      <w:r>
        <w:t>图14</w:t>
      </w:r>
      <w:r>
        <w:rPr>
          <w:rFonts w:hint="eastAsia"/>
        </w:rPr>
        <w:t xml:space="preserve"> 关键变量SHAP依赖图</w:t>
      </w:r>
      <w:r>
        <w:tab/>
      </w:r>
      <w:r>
        <w:fldChar w:fldCharType="begin"/>
      </w:r>
      <w:r>
        <w:instrText xml:space="preserve"> PAGEREF _Toc10917 \h </w:instrText>
      </w:r>
      <w:r>
        <w:fldChar w:fldCharType="separate"/>
      </w:r>
      <w:r>
        <w:t>29</w:t>
      </w:r>
      <w:r>
        <w:fldChar w:fldCharType="end"/>
      </w:r>
      <w:r>
        <w:fldChar w:fldCharType="end"/>
      </w:r>
    </w:p>
    <w:p w14:paraId="37DE1F98">
      <w:pPr>
        <w:pStyle w:val="13"/>
        <w:tabs>
          <w:tab w:val="right" w:leader="dot" w:pos="8306"/>
        </w:tabs>
        <w:ind w:left="960" w:hanging="480"/>
      </w:pPr>
      <w:r>
        <w:fldChar w:fldCharType="begin"/>
      </w:r>
      <w:r>
        <w:instrText xml:space="preserve"> HYPERLINK \l "_Toc15544" </w:instrText>
      </w:r>
      <w:r>
        <w:fldChar w:fldCharType="separate"/>
      </w:r>
      <w:r>
        <w:t>图15</w:t>
      </w:r>
      <w:r>
        <w:rPr>
          <w:rFonts w:hint="eastAsia"/>
        </w:rPr>
        <w:t xml:space="preserve"> 概率校准曲线</w:t>
      </w:r>
      <w:r>
        <w:tab/>
      </w:r>
      <w:r>
        <w:fldChar w:fldCharType="begin"/>
      </w:r>
      <w:r>
        <w:instrText xml:space="preserve"> PAGEREF _Toc15544 \h </w:instrText>
      </w:r>
      <w:r>
        <w:fldChar w:fldCharType="separate"/>
      </w:r>
      <w:r>
        <w:t>29</w:t>
      </w:r>
      <w:r>
        <w:fldChar w:fldCharType="end"/>
      </w:r>
      <w:r>
        <w:fldChar w:fldCharType="end"/>
      </w:r>
    </w:p>
    <w:p w14:paraId="5F6EE45B">
      <w:pPr>
        <w:ind w:firstLine="0" w:firstLineChars="0"/>
        <w:jc w:val="center"/>
      </w:pPr>
      <w:r>
        <w:fldChar w:fldCharType="end"/>
      </w:r>
    </w:p>
    <w:p w14:paraId="3C3B649B">
      <w:pPr>
        <w:ind w:firstLine="0" w:firstLineChars="0"/>
        <w:jc w:val="center"/>
        <w:sectPr>
          <w:footerReference r:id="rId13" w:type="default"/>
          <w:pgSz w:w="11906" w:h="16838"/>
          <w:pgMar w:top="1440" w:right="1800" w:bottom="1440" w:left="1800" w:header="851" w:footer="992" w:gutter="0"/>
          <w:pgNumType w:fmt="upperRoman"/>
          <w:cols w:space="425" w:num="1"/>
          <w:docGrid w:type="lines" w:linePitch="312" w:charSpace="0"/>
        </w:sectPr>
      </w:pPr>
    </w:p>
    <w:p w14:paraId="4D8F5737">
      <w:pPr>
        <w:ind w:firstLine="0" w:firstLineChars="0"/>
        <w:jc w:val="center"/>
      </w:pPr>
      <w:r>
        <w:rPr>
          <w:rFonts w:hint="eastAsia" w:ascii="黑体" w:hAnsi="黑体" w:eastAsia="黑体" w:cs="Times New Roman"/>
          <w:bCs/>
          <w:kern w:val="0"/>
          <w:sz w:val="28"/>
          <w:szCs w:val="28"/>
          <w:lang w:val="zh-CN"/>
        </w:rPr>
        <w:t>表目录</w:t>
      </w:r>
    </w:p>
    <w:p w14:paraId="0F11A8B5">
      <w:pPr>
        <w:pStyle w:val="13"/>
        <w:tabs>
          <w:tab w:val="right" w:leader="dot" w:pos="8306"/>
        </w:tabs>
        <w:ind w:left="960" w:hanging="480"/>
      </w:pPr>
      <w:r>
        <w:fldChar w:fldCharType="begin"/>
      </w:r>
      <w:r>
        <w:instrText xml:space="preserve">TOC \h \c "表"</w:instrText>
      </w:r>
      <w:r>
        <w:fldChar w:fldCharType="separate"/>
      </w:r>
      <w:r>
        <w:fldChar w:fldCharType="begin"/>
      </w:r>
      <w:r>
        <w:instrText xml:space="preserve"> HYPERLINK \l "_Toc31371" </w:instrText>
      </w:r>
      <w:r>
        <w:fldChar w:fldCharType="separate"/>
      </w:r>
      <w:r>
        <w:t>表1</w:t>
      </w:r>
      <w:r>
        <w:rPr>
          <w:rFonts w:hint="eastAsia"/>
        </w:rPr>
        <w:t xml:space="preserve"> 心源性猝死相关核心心电指标及临床意义</w:t>
      </w:r>
      <w:r>
        <w:tab/>
      </w:r>
      <w:r>
        <w:fldChar w:fldCharType="begin"/>
      </w:r>
      <w:r>
        <w:instrText xml:space="preserve"> PAGEREF _Toc31371 \h </w:instrText>
      </w:r>
      <w:r>
        <w:fldChar w:fldCharType="separate"/>
      </w:r>
      <w:r>
        <w:t>6</w:t>
      </w:r>
      <w:r>
        <w:fldChar w:fldCharType="end"/>
      </w:r>
      <w:r>
        <w:fldChar w:fldCharType="end"/>
      </w:r>
    </w:p>
    <w:p w14:paraId="3381E56C">
      <w:pPr>
        <w:pStyle w:val="13"/>
        <w:tabs>
          <w:tab w:val="right" w:leader="dot" w:pos="8306"/>
        </w:tabs>
        <w:ind w:left="960" w:hanging="480"/>
      </w:pPr>
      <w:r>
        <w:fldChar w:fldCharType="begin"/>
      </w:r>
      <w:r>
        <w:instrText xml:space="preserve"> HYPERLINK \l "_Toc29840" </w:instrText>
      </w:r>
      <w:r>
        <w:fldChar w:fldCharType="separate"/>
      </w:r>
      <w:r>
        <w:t>表2</w:t>
      </w:r>
      <w:r>
        <w:rPr>
          <w:rFonts w:hint="eastAsia"/>
        </w:rPr>
        <w:t xml:space="preserve"> 数据筛选流程</w:t>
      </w:r>
      <w:r>
        <w:tab/>
      </w:r>
      <w:r>
        <w:fldChar w:fldCharType="begin"/>
      </w:r>
      <w:r>
        <w:instrText xml:space="preserve"> PAGEREF _Toc29840 \h </w:instrText>
      </w:r>
      <w:r>
        <w:fldChar w:fldCharType="separate"/>
      </w:r>
      <w:r>
        <w:t>11</w:t>
      </w:r>
      <w:r>
        <w:fldChar w:fldCharType="end"/>
      </w:r>
      <w:r>
        <w:fldChar w:fldCharType="end"/>
      </w:r>
    </w:p>
    <w:p w14:paraId="194B2685">
      <w:pPr>
        <w:pStyle w:val="13"/>
        <w:tabs>
          <w:tab w:val="right" w:leader="dot" w:pos="8306"/>
        </w:tabs>
        <w:ind w:left="960" w:hanging="480"/>
      </w:pPr>
      <w:r>
        <w:fldChar w:fldCharType="begin"/>
      </w:r>
      <w:r>
        <w:instrText xml:space="preserve"> HYPERLINK \l "_Toc21497" </w:instrText>
      </w:r>
      <w:r>
        <w:fldChar w:fldCharType="separate"/>
      </w:r>
      <w:r>
        <w:t>表3</w:t>
      </w:r>
      <w:r>
        <w:rPr>
          <w:rFonts w:hint="eastAsia"/>
        </w:rPr>
        <w:t xml:space="preserve"> 特征变量维度分布</w:t>
      </w:r>
      <w:r>
        <w:tab/>
      </w:r>
      <w:r>
        <w:fldChar w:fldCharType="begin"/>
      </w:r>
      <w:r>
        <w:instrText xml:space="preserve"> PAGEREF _Toc21497 \h </w:instrText>
      </w:r>
      <w:r>
        <w:fldChar w:fldCharType="separate"/>
      </w:r>
      <w:r>
        <w:t>11</w:t>
      </w:r>
      <w:r>
        <w:fldChar w:fldCharType="end"/>
      </w:r>
      <w:r>
        <w:fldChar w:fldCharType="end"/>
      </w:r>
    </w:p>
    <w:p w14:paraId="73117E53">
      <w:pPr>
        <w:pStyle w:val="13"/>
        <w:tabs>
          <w:tab w:val="right" w:leader="dot" w:pos="8306"/>
        </w:tabs>
        <w:ind w:left="960" w:hanging="480"/>
      </w:pPr>
      <w:r>
        <w:fldChar w:fldCharType="begin"/>
      </w:r>
      <w:r>
        <w:instrText xml:space="preserve"> HYPERLINK \l "_Toc31299" </w:instrText>
      </w:r>
      <w:r>
        <w:fldChar w:fldCharType="separate"/>
      </w:r>
      <w:r>
        <w:t>表4</w:t>
      </w:r>
      <w:r>
        <w:rPr>
          <w:rFonts w:hint="eastAsia"/>
        </w:rPr>
        <w:t xml:space="preserve"> 缺失值分级处理策略</w:t>
      </w:r>
      <w:r>
        <w:tab/>
      </w:r>
      <w:r>
        <w:fldChar w:fldCharType="begin"/>
      </w:r>
      <w:r>
        <w:instrText xml:space="preserve"> PAGEREF _Toc31299 \h </w:instrText>
      </w:r>
      <w:r>
        <w:fldChar w:fldCharType="separate"/>
      </w:r>
      <w:r>
        <w:t>12</w:t>
      </w:r>
      <w:r>
        <w:fldChar w:fldCharType="end"/>
      </w:r>
      <w:r>
        <w:fldChar w:fldCharType="end"/>
      </w:r>
    </w:p>
    <w:p w14:paraId="01283755">
      <w:pPr>
        <w:pStyle w:val="13"/>
        <w:tabs>
          <w:tab w:val="right" w:leader="dot" w:pos="8306"/>
        </w:tabs>
        <w:ind w:left="960" w:hanging="480"/>
      </w:pPr>
      <w:r>
        <w:fldChar w:fldCharType="begin"/>
      </w:r>
      <w:r>
        <w:instrText xml:space="preserve"> HYPERLINK \l "_Toc27596" </w:instrText>
      </w:r>
      <w:r>
        <w:fldChar w:fldCharType="separate"/>
      </w:r>
      <w:r>
        <w:t>表5</w:t>
      </w:r>
      <w:r>
        <w:rPr>
          <w:rFonts w:hint="eastAsia"/>
        </w:rPr>
        <w:t xml:space="preserve"> 基于临床生理学原理的融合特征</w:t>
      </w:r>
      <w:r>
        <w:tab/>
      </w:r>
      <w:r>
        <w:fldChar w:fldCharType="begin"/>
      </w:r>
      <w:r>
        <w:instrText xml:space="preserve"> PAGEREF _Toc27596 \h </w:instrText>
      </w:r>
      <w:r>
        <w:fldChar w:fldCharType="separate"/>
      </w:r>
      <w:r>
        <w:t>13</w:t>
      </w:r>
      <w:r>
        <w:fldChar w:fldCharType="end"/>
      </w:r>
      <w:r>
        <w:fldChar w:fldCharType="end"/>
      </w:r>
    </w:p>
    <w:p w14:paraId="7EDF710C">
      <w:pPr>
        <w:pStyle w:val="13"/>
        <w:tabs>
          <w:tab w:val="right" w:leader="dot" w:pos="8306"/>
        </w:tabs>
        <w:ind w:left="960" w:hanging="480"/>
      </w:pPr>
      <w:r>
        <w:fldChar w:fldCharType="begin"/>
      </w:r>
      <w:r>
        <w:instrText xml:space="preserve"> HYPERLINK \l "_Toc15983" </w:instrText>
      </w:r>
      <w:r>
        <w:fldChar w:fldCharType="separate"/>
      </w:r>
      <w:r>
        <w:t>表6</w:t>
      </w:r>
      <w:r>
        <w:rPr>
          <w:rFonts w:hint="eastAsia"/>
        </w:rPr>
        <w:t xml:space="preserve"> 基于临床</w:t>
      </w:r>
      <w:r>
        <w:rPr>
          <w:rFonts w:hint="eastAsia" w:ascii="宋体" w:hAnsi="宋体" w:eastAsia="宋体" w:cs="宋体"/>
        </w:rPr>
        <w:t>-</w:t>
      </w:r>
      <w:r>
        <w:rPr>
          <w:rFonts w:hint="eastAsia"/>
        </w:rPr>
        <w:t>心电交互的融合特征</w:t>
      </w:r>
      <w:r>
        <w:tab/>
      </w:r>
      <w:r>
        <w:fldChar w:fldCharType="begin"/>
      </w:r>
      <w:r>
        <w:instrText xml:space="preserve"> PAGEREF _Toc15983 \h </w:instrText>
      </w:r>
      <w:r>
        <w:fldChar w:fldCharType="separate"/>
      </w:r>
      <w:r>
        <w:t>13</w:t>
      </w:r>
      <w:r>
        <w:fldChar w:fldCharType="end"/>
      </w:r>
      <w:r>
        <w:fldChar w:fldCharType="end"/>
      </w:r>
    </w:p>
    <w:p w14:paraId="5D00C9E7">
      <w:pPr>
        <w:pStyle w:val="13"/>
        <w:tabs>
          <w:tab w:val="right" w:leader="dot" w:pos="8306"/>
        </w:tabs>
        <w:ind w:left="960" w:hanging="480"/>
      </w:pPr>
      <w:r>
        <w:fldChar w:fldCharType="begin"/>
      </w:r>
      <w:r>
        <w:instrText xml:space="preserve"> HYPERLINK \l "_Toc14867" </w:instrText>
      </w:r>
      <w:r>
        <w:fldChar w:fldCharType="separate"/>
      </w:r>
      <w:r>
        <w:t>表7</w:t>
      </w:r>
      <w:r>
        <w:rPr>
          <w:rFonts w:hint="eastAsia"/>
        </w:rPr>
        <w:t xml:space="preserve"> </w:t>
      </w:r>
      <w:r>
        <w:t>候选特征筛选与降维处理策略</w:t>
      </w:r>
      <w:r>
        <w:tab/>
      </w:r>
      <w:r>
        <w:fldChar w:fldCharType="begin"/>
      </w:r>
      <w:r>
        <w:instrText xml:space="preserve"> PAGEREF _Toc14867 \h </w:instrText>
      </w:r>
      <w:r>
        <w:fldChar w:fldCharType="separate"/>
      </w:r>
      <w:r>
        <w:t>14</w:t>
      </w:r>
      <w:r>
        <w:fldChar w:fldCharType="end"/>
      </w:r>
      <w:r>
        <w:fldChar w:fldCharType="end"/>
      </w:r>
    </w:p>
    <w:p w14:paraId="024E818E">
      <w:pPr>
        <w:pStyle w:val="13"/>
        <w:tabs>
          <w:tab w:val="right" w:leader="dot" w:pos="8306"/>
        </w:tabs>
        <w:ind w:left="960" w:hanging="480"/>
      </w:pPr>
      <w:r>
        <w:fldChar w:fldCharType="begin"/>
      </w:r>
      <w:r>
        <w:instrText xml:space="preserve"> HYPERLINK \l "_Toc8886" </w:instrText>
      </w:r>
      <w:r>
        <w:fldChar w:fldCharType="separate"/>
      </w:r>
      <w:r>
        <w:t>表8</w:t>
      </w:r>
      <w:r>
        <w:rPr>
          <w:rFonts w:hint="eastAsia"/>
        </w:rPr>
        <w:t xml:space="preserve"> 源域心电数据组成与表型定义</w:t>
      </w:r>
      <w:r>
        <w:tab/>
      </w:r>
      <w:r>
        <w:fldChar w:fldCharType="begin"/>
      </w:r>
      <w:r>
        <w:instrText xml:space="preserve"> PAGEREF _Toc8886 \h </w:instrText>
      </w:r>
      <w:r>
        <w:fldChar w:fldCharType="separate"/>
      </w:r>
      <w:r>
        <w:t>15</w:t>
      </w:r>
      <w:r>
        <w:fldChar w:fldCharType="end"/>
      </w:r>
      <w:r>
        <w:fldChar w:fldCharType="end"/>
      </w:r>
    </w:p>
    <w:p w14:paraId="18CCE7E0">
      <w:pPr>
        <w:pStyle w:val="13"/>
        <w:tabs>
          <w:tab w:val="right" w:leader="dot" w:pos="8306"/>
        </w:tabs>
        <w:ind w:left="960" w:hanging="480"/>
      </w:pPr>
      <w:r>
        <w:fldChar w:fldCharType="begin"/>
      </w:r>
      <w:r>
        <w:instrText xml:space="preserve"> HYPERLINK \l "_Toc8117" </w:instrText>
      </w:r>
      <w:r>
        <w:fldChar w:fldCharType="separate"/>
      </w:r>
      <w:r>
        <w:t>表9</w:t>
      </w:r>
      <w:r>
        <w:rPr>
          <w:rFonts w:hint="eastAsia"/>
        </w:rPr>
        <w:t xml:space="preserve"> TCN模型结构与训练配置</w:t>
      </w:r>
      <w:r>
        <w:tab/>
      </w:r>
      <w:r>
        <w:fldChar w:fldCharType="begin"/>
      </w:r>
      <w:r>
        <w:instrText xml:space="preserve"> PAGEREF _Toc8117 \h </w:instrText>
      </w:r>
      <w:r>
        <w:fldChar w:fldCharType="separate"/>
      </w:r>
      <w:r>
        <w:t>16</w:t>
      </w:r>
      <w:r>
        <w:fldChar w:fldCharType="end"/>
      </w:r>
      <w:r>
        <w:fldChar w:fldCharType="end"/>
      </w:r>
    </w:p>
    <w:p w14:paraId="07E83434">
      <w:pPr>
        <w:pStyle w:val="13"/>
        <w:tabs>
          <w:tab w:val="right" w:leader="dot" w:pos="8306"/>
        </w:tabs>
        <w:ind w:left="960" w:hanging="480"/>
      </w:pPr>
      <w:r>
        <w:fldChar w:fldCharType="begin"/>
      </w:r>
      <w:r>
        <w:instrText xml:space="preserve"> HYPERLINK \l "_Toc4697" </w:instrText>
      </w:r>
      <w:r>
        <w:fldChar w:fldCharType="separate"/>
      </w:r>
      <w:r>
        <w:t>表10</w:t>
      </w:r>
      <w:r>
        <w:rPr>
          <w:rFonts w:hint="eastAsia"/>
        </w:rPr>
        <w:t xml:space="preserve"> </w:t>
      </w:r>
      <w:r>
        <w:t>MIMIC</w:t>
      </w:r>
      <w:r>
        <w:rPr>
          <w:rFonts w:hint="eastAsia"/>
        </w:rPr>
        <w:t>综合</w:t>
      </w:r>
      <w:r>
        <w:t>死亡结局微调样本划分</w:t>
      </w:r>
      <w:r>
        <w:tab/>
      </w:r>
      <w:r>
        <w:fldChar w:fldCharType="begin"/>
      </w:r>
      <w:r>
        <w:instrText xml:space="preserve"> PAGEREF _Toc4697 \h </w:instrText>
      </w:r>
      <w:r>
        <w:fldChar w:fldCharType="separate"/>
      </w:r>
      <w:r>
        <w:t>19</w:t>
      </w:r>
      <w:r>
        <w:fldChar w:fldCharType="end"/>
      </w:r>
      <w:r>
        <w:fldChar w:fldCharType="end"/>
      </w:r>
    </w:p>
    <w:p w14:paraId="72275F5E">
      <w:pPr>
        <w:pStyle w:val="13"/>
        <w:tabs>
          <w:tab w:val="right" w:leader="dot" w:pos="8306"/>
        </w:tabs>
        <w:ind w:left="960" w:hanging="480"/>
      </w:pPr>
      <w:r>
        <w:fldChar w:fldCharType="begin"/>
      </w:r>
      <w:r>
        <w:instrText xml:space="preserve"> HYPERLINK \l "_Toc32260" </w:instrText>
      </w:r>
      <w:r>
        <w:fldChar w:fldCharType="separate"/>
      </w:r>
      <w:r>
        <w:t>表11</w:t>
      </w:r>
      <w:r>
        <w:rPr>
          <w:rFonts w:hint="eastAsia"/>
        </w:rPr>
        <w:t xml:space="preserve"> MIMIC-IV-ECG目标域推理配置</w:t>
      </w:r>
      <w:r>
        <w:tab/>
      </w:r>
      <w:r>
        <w:fldChar w:fldCharType="begin"/>
      </w:r>
      <w:r>
        <w:instrText xml:space="preserve"> PAGEREF _Toc32260 \h </w:instrText>
      </w:r>
      <w:r>
        <w:fldChar w:fldCharType="separate"/>
      </w:r>
      <w:r>
        <w:t>19</w:t>
      </w:r>
      <w:r>
        <w:fldChar w:fldCharType="end"/>
      </w:r>
      <w:r>
        <w:fldChar w:fldCharType="end"/>
      </w:r>
    </w:p>
    <w:p w14:paraId="6B8286FE">
      <w:pPr>
        <w:pStyle w:val="13"/>
        <w:tabs>
          <w:tab w:val="right" w:leader="dot" w:pos="8306"/>
        </w:tabs>
        <w:ind w:left="960" w:hanging="480"/>
      </w:pPr>
      <w:r>
        <w:fldChar w:fldCharType="begin"/>
      </w:r>
      <w:r>
        <w:instrText xml:space="preserve"> HYPERLINK \l "_Toc30308" </w:instrText>
      </w:r>
      <w:r>
        <w:fldChar w:fldCharType="separate"/>
      </w:r>
      <w:r>
        <w:t>表12</w:t>
      </w:r>
      <w:r>
        <w:rPr>
          <w:rFonts w:hint="eastAsia"/>
        </w:rPr>
        <w:t xml:space="preserve"> </w:t>
      </w:r>
      <w:r>
        <w:t>ECG-only微调模型</w:t>
      </w:r>
      <w:r>
        <w:rPr>
          <w:rFonts w:hint="eastAsia"/>
        </w:rPr>
        <w:t>在临床单独变量</w:t>
      </w:r>
      <w:r>
        <w:t>测试集性能</w:t>
      </w:r>
      <w:r>
        <w:tab/>
      </w:r>
      <w:r>
        <w:fldChar w:fldCharType="begin"/>
      </w:r>
      <w:r>
        <w:instrText xml:space="preserve"> PAGEREF _Toc30308 \h </w:instrText>
      </w:r>
      <w:r>
        <w:fldChar w:fldCharType="separate"/>
      </w:r>
      <w:r>
        <w:t>19</w:t>
      </w:r>
      <w:r>
        <w:fldChar w:fldCharType="end"/>
      </w:r>
      <w:r>
        <w:fldChar w:fldCharType="end"/>
      </w:r>
    </w:p>
    <w:p w14:paraId="0981A335">
      <w:pPr>
        <w:pStyle w:val="13"/>
        <w:tabs>
          <w:tab w:val="right" w:leader="dot" w:pos="8306"/>
        </w:tabs>
        <w:ind w:left="960" w:hanging="480"/>
      </w:pPr>
      <w:r>
        <w:fldChar w:fldCharType="begin"/>
      </w:r>
      <w:r>
        <w:instrText xml:space="preserve"> HYPERLINK \l "_Toc27797" </w:instrText>
      </w:r>
      <w:r>
        <w:fldChar w:fldCharType="separate"/>
      </w:r>
      <w:r>
        <w:t>表13</w:t>
      </w:r>
      <w:r>
        <w:rPr>
          <w:rFonts w:hint="eastAsia"/>
        </w:rPr>
        <w:t xml:space="preserve"> </w:t>
      </w:r>
      <w:r>
        <w:rPr>
          <w:rFonts w:hint="eastAsia" w:ascii="宋体" w:hAnsi="宋体" w:cs="宋体"/>
          <w:szCs w:val="24"/>
        </w:rPr>
        <w:t>多源融合模型输入特征体系</w:t>
      </w:r>
      <w:r>
        <w:tab/>
      </w:r>
      <w:r>
        <w:fldChar w:fldCharType="begin"/>
      </w:r>
      <w:r>
        <w:instrText xml:space="preserve"> PAGEREF _Toc27797 \h </w:instrText>
      </w:r>
      <w:r>
        <w:fldChar w:fldCharType="separate"/>
      </w:r>
      <w:r>
        <w:t>20</w:t>
      </w:r>
      <w:r>
        <w:fldChar w:fldCharType="end"/>
      </w:r>
      <w:r>
        <w:fldChar w:fldCharType="end"/>
      </w:r>
    </w:p>
    <w:p w14:paraId="4D5ECF24">
      <w:pPr>
        <w:pStyle w:val="13"/>
        <w:tabs>
          <w:tab w:val="right" w:leader="dot" w:pos="8306"/>
        </w:tabs>
        <w:ind w:left="960" w:hanging="480"/>
      </w:pPr>
      <w:r>
        <w:fldChar w:fldCharType="begin"/>
      </w:r>
      <w:r>
        <w:instrText xml:space="preserve"> HYPERLINK \l "_Toc14886" </w:instrText>
      </w:r>
      <w:r>
        <w:fldChar w:fldCharType="separate"/>
      </w:r>
      <w:r>
        <w:t>表14</w:t>
      </w:r>
      <w:r>
        <w:rPr>
          <w:rFonts w:hint="eastAsia"/>
        </w:rPr>
        <w:t xml:space="preserve"> LASSO</w:t>
      </w:r>
      <w:r>
        <w:rPr>
          <w:rFonts w:hint="eastAsia" w:ascii="宋体" w:hAnsi="宋体" w:cs="宋体"/>
          <w:szCs w:val="24"/>
        </w:rPr>
        <w:t>特征筛选方法设计与判定规则</w:t>
      </w:r>
      <w:r>
        <w:tab/>
      </w:r>
      <w:r>
        <w:fldChar w:fldCharType="begin"/>
      </w:r>
      <w:r>
        <w:instrText xml:space="preserve"> PAGEREF _Toc14886 \h </w:instrText>
      </w:r>
      <w:r>
        <w:fldChar w:fldCharType="separate"/>
      </w:r>
      <w:r>
        <w:t>22</w:t>
      </w:r>
      <w:r>
        <w:fldChar w:fldCharType="end"/>
      </w:r>
      <w:r>
        <w:fldChar w:fldCharType="end"/>
      </w:r>
    </w:p>
    <w:p w14:paraId="493D7C55">
      <w:pPr>
        <w:pStyle w:val="13"/>
        <w:tabs>
          <w:tab w:val="right" w:leader="dot" w:pos="8306"/>
        </w:tabs>
        <w:ind w:left="960" w:hanging="480"/>
      </w:pPr>
      <w:r>
        <w:fldChar w:fldCharType="begin"/>
      </w:r>
      <w:r>
        <w:instrText xml:space="preserve"> HYPERLINK \l "_Toc336" </w:instrText>
      </w:r>
      <w:r>
        <w:fldChar w:fldCharType="separate"/>
      </w:r>
      <w:r>
        <w:t>表15</w:t>
      </w:r>
      <w:r>
        <w:rPr>
          <w:rFonts w:hint="eastAsia"/>
        </w:rPr>
        <w:t xml:space="preserve"> </w:t>
      </w:r>
      <w:r>
        <w:rPr>
          <w:rFonts w:hint="eastAsia" w:ascii="宋体" w:hAnsi="宋体" w:cs="宋体"/>
          <w:szCs w:val="24"/>
        </w:rPr>
        <w:t>多源融合模型测试集性能比较</w:t>
      </w:r>
      <w:r>
        <w:tab/>
      </w:r>
      <w:r>
        <w:fldChar w:fldCharType="begin"/>
      </w:r>
      <w:r>
        <w:instrText xml:space="preserve"> PAGEREF _Toc336 \h </w:instrText>
      </w:r>
      <w:r>
        <w:fldChar w:fldCharType="separate"/>
      </w:r>
      <w:r>
        <w:t>22</w:t>
      </w:r>
      <w:r>
        <w:fldChar w:fldCharType="end"/>
      </w:r>
      <w:r>
        <w:fldChar w:fldCharType="end"/>
      </w:r>
    </w:p>
    <w:p w14:paraId="56D7A411">
      <w:pPr>
        <w:pStyle w:val="13"/>
        <w:tabs>
          <w:tab w:val="right" w:leader="dot" w:pos="8306"/>
        </w:tabs>
        <w:ind w:left="960" w:hanging="480"/>
      </w:pPr>
      <w:r>
        <w:fldChar w:fldCharType="begin"/>
      </w:r>
      <w:r>
        <w:instrText xml:space="preserve"> HYPERLINK \l "_Toc29668" </w:instrText>
      </w:r>
      <w:r>
        <w:fldChar w:fldCharType="separate"/>
      </w:r>
      <w:r>
        <w:t>表16</w:t>
      </w:r>
      <w:r>
        <w:rPr>
          <w:rFonts w:hint="eastAsia"/>
        </w:rPr>
        <w:t xml:space="preserve"> 特征消融实验交叉验证结果</w:t>
      </w:r>
      <w:r>
        <w:tab/>
      </w:r>
      <w:r>
        <w:fldChar w:fldCharType="begin"/>
      </w:r>
      <w:r>
        <w:instrText xml:space="preserve"> PAGEREF _Toc29668 \h </w:instrText>
      </w:r>
      <w:r>
        <w:fldChar w:fldCharType="separate"/>
      </w:r>
      <w:r>
        <w:t>23</w:t>
      </w:r>
      <w:r>
        <w:fldChar w:fldCharType="end"/>
      </w:r>
      <w:r>
        <w:fldChar w:fldCharType="end"/>
      </w:r>
    </w:p>
    <w:p w14:paraId="29BDFC30">
      <w:pPr>
        <w:pStyle w:val="13"/>
        <w:tabs>
          <w:tab w:val="right" w:leader="dot" w:pos="8306"/>
        </w:tabs>
        <w:ind w:left="960" w:hanging="480"/>
      </w:pPr>
      <w:r>
        <w:fldChar w:fldCharType="begin"/>
      </w:r>
      <w:r>
        <w:instrText xml:space="preserve"> HYPERLINK \l "_Toc24259" </w:instrText>
      </w:r>
      <w:r>
        <w:fldChar w:fldCharType="separate"/>
      </w:r>
      <w:r>
        <w:t>表17</w:t>
      </w:r>
      <w:r>
        <w:rPr>
          <w:rFonts w:hint="eastAsia"/>
        </w:rPr>
        <w:t xml:space="preserve"> 患者级GroupKFold交叉验证结果</w:t>
      </w:r>
      <w:r>
        <w:tab/>
      </w:r>
      <w:r>
        <w:fldChar w:fldCharType="begin"/>
      </w:r>
      <w:r>
        <w:instrText xml:space="preserve"> PAGEREF _Toc24259 \h </w:instrText>
      </w:r>
      <w:r>
        <w:fldChar w:fldCharType="separate"/>
      </w:r>
      <w:r>
        <w:t>24</w:t>
      </w:r>
      <w:r>
        <w:fldChar w:fldCharType="end"/>
      </w:r>
      <w:r>
        <w:fldChar w:fldCharType="end"/>
      </w:r>
    </w:p>
    <w:p w14:paraId="7880995F">
      <w:pPr>
        <w:pStyle w:val="13"/>
        <w:tabs>
          <w:tab w:val="right" w:leader="dot" w:pos="8306"/>
        </w:tabs>
        <w:ind w:left="960" w:hanging="480"/>
      </w:pPr>
      <w:r>
        <w:fldChar w:fldCharType="begin"/>
      </w:r>
      <w:r>
        <w:instrText xml:space="preserve"> HYPERLINK \l "_Toc1487" </w:instrText>
      </w:r>
      <w:r>
        <w:fldChar w:fldCharType="separate"/>
      </w:r>
      <w:r>
        <w:t>表18</w:t>
      </w:r>
      <w:r>
        <w:rPr>
          <w:rFonts w:hint="eastAsia"/>
        </w:rPr>
        <w:t xml:space="preserve"> Bootstrap置信区间与阈值分类结果</w:t>
      </w:r>
      <w:r>
        <w:tab/>
      </w:r>
      <w:r>
        <w:fldChar w:fldCharType="begin"/>
      </w:r>
      <w:r>
        <w:instrText xml:space="preserve"> PAGEREF _Toc1487 \h </w:instrText>
      </w:r>
      <w:r>
        <w:fldChar w:fldCharType="separate"/>
      </w:r>
      <w:r>
        <w:t>24</w:t>
      </w:r>
      <w:r>
        <w:fldChar w:fldCharType="end"/>
      </w:r>
      <w:r>
        <w:fldChar w:fldCharType="end"/>
      </w:r>
    </w:p>
    <w:p w14:paraId="7888CCD7">
      <w:pPr>
        <w:pStyle w:val="13"/>
        <w:tabs>
          <w:tab w:val="right" w:leader="dot" w:pos="8306"/>
        </w:tabs>
        <w:ind w:left="960" w:hanging="480"/>
      </w:pPr>
      <w:r>
        <w:fldChar w:fldCharType="begin"/>
      </w:r>
      <w:r>
        <w:instrText xml:space="preserve"> HYPERLINK \l "_Toc31931" </w:instrText>
      </w:r>
      <w:r>
        <w:fldChar w:fldCharType="separate"/>
      </w:r>
      <w:r>
        <w:t>表19</w:t>
      </w:r>
      <w:r>
        <w:rPr>
          <w:rFonts w:hint="eastAsia"/>
        </w:rPr>
        <w:t xml:space="preserve"> ICU与非ICU子集验证结果</w:t>
      </w:r>
      <w:r>
        <w:tab/>
      </w:r>
      <w:r>
        <w:fldChar w:fldCharType="begin"/>
      </w:r>
      <w:r>
        <w:instrText xml:space="preserve"> PAGEREF _Toc31931 \h </w:instrText>
      </w:r>
      <w:r>
        <w:fldChar w:fldCharType="separate"/>
      </w:r>
      <w:r>
        <w:t>24</w:t>
      </w:r>
      <w:r>
        <w:fldChar w:fldCharType="end"/>
      </w:r>
      <w:r>
        <w:fldChar w:fldCharType="end"/>
      </w:r>
    </w:p>
    <w:p w14:paraId="332753B6">
      <w:pPr>
        <w:pStyle w:val="13"/>
        <w:tabs>
          <w:tab w:val="right" w:leader="dot" w:pos="8306"/>
        </w:tabs>
        <w:ind w:left="960" w:hanging="480"/>
      </w:pPr>
      <w:r>
        <w:fldChar w:fldCharType="begin"/>
      </w:r>
      <w:r>
        <w:instrText xml:space="preserve"> HYPERLINK \l "_Toc19250" </w:instrText>
      </w:r>
      <w:r>
        <w:fldChar w:fldCharType="separate"/>
      </w:r>
      <w:r>
        <w:t>表20</w:t>
      </w:r>
      <w:r>
        <w:rPr>
          <w:rFonts w:hint="eastAsia"/>
        </w:rPr>
        <w:t xml:space="preserve"> </w:t>
      </w:r>
      <w:r>
        <w:rPr>
          <w:rFonts w:hint="eastAsia" w:ascii="宋体" w:hAnsi="宋体" w:cs="宋体"/>
          <w:szCs w:val="24"/>
        </w:rPr>
        <w:t>近期高危风险四级预警分层结果</w:t>
      </w:r>
      <w:r>
        <w:tab/>
      </w:r>
      <w:r>
        <w:fldChar w:fldCharType="begin"/>
      </w:r>
      <w:r>
        <w:instrText xml:space="preserve"> PAGEREF _Toc19250 \h </w:instrText>
      </w:r>
      <w:r>
        <w:fldChar w:fldCharType="separate"/>
      </w:r>
      <w:r>
        <w:t>26</w:t>
      </w:r>
      <w:r>
        <w:fldChar w:fldCharType="end"/>
      </w:r>
      <w:r>
        <w:fldChar w:fldCharType="end"/>
      </w:r>
    </w:p>
    <w:p w14:paraId="06C32D7C">
      <w:pPr>
        <w:pStyle w:val="13"/>
        <w:tabs>
          <w:tab w:val="right" w:leader="dot" w:pos="8306"/>
        </w:tabs>
        <w:ind w:left="960" w:hanging="480"/>
      </w:pPr>
      <w:r>
        <w:fldChar w:fldCharType="begin"/>
      </w:r>
      <w:r>
        <w:instrText xml:space="preserve"> HYPERLINK \l "_Toc24342" </w:instrText>
      </w:r>
      <w:r>
        <w:fldChar w:fldCharType="separate"/>
      </w:r>
      <w:r>
        <w:t>表21 综合高风险模型不同工作点下的分类性能</w:t>
      </w:r>
      <w:r>
        <w:tab/>
      </w:r>
      <w:r>
        <w:fldChar w:fldCharType="begin"/>
      </w:r>
      <w:r>
        <w:instrText xml:space="preserve"> PAGEREF _Toc24342 \h </w:instrText>
      </w:r>
      <w:r>
        <w:fldChar w:fldCharType="separate"/>
      </w:r>
      <w:r>
        <w:t>26</w:t>
      </w:r>
      <w:r>
        <w:fldChar w:fldCharType="end"/>
      </w:r>
      <w:r>
        <w:fldChar w:fldCharType="end"/>
      </w:r>
    </w:p>
    <w:p w14:paraId="08B4A2A6">
      <w:pPr>
        <w:ind w:firstLine="480"/>
        <w:sectPr>
          <w:footerReference r:id="rId14" w:type="default"/>
          <w:pgSz w:w="11906" w:h="16838"/>
          <w:pgMar w:top="1440" w:right="1800" w:bottom="1440" w:left="1800" w:header="851" w:footer="992" w:gutter="0"/>
          <w:pgNumType w:fmt="upperRoman"/>
          <w:cols w:space="425" w:num="1"/>
          <w:docGrid w:type="lines" w:linePitch="312" w:charSpace="0"/>
        </w:sectPr>
      </w:pPr>
      <w:r>
        <w:fldChar w:fldCharType="end"/>
      </w:r>
    </w:p>
    <w:p w14:paraId="14D0816A">
      <w:pPr>
        <w:pStyle w:val="2"/>
        <w:jc w:val="center"/>
      </w:pPr>
      <w:bookmarkStart w:id="4" w:name="_Toc8683"/>
      <w:r>
        <w:rPr>
          <w:rFonts w:hint="eastAsia"/>
        </w:rPr>
        <w:t>一、绪论</w:t>
      </w:r>
      <w:bookmarkEnd w:id="3"/>
      <w:bookmarkEnd w:id="4"/>
    </w:p>
    <w:p w14:paraId="1E018172">
      <w:pPr>
        <w:pStyle w:val="3"/>
        <w:ind w:firstLine="560"/>
        <w:rPr>
          <w:rFonts w:hint="eastAsia"/>
        </w:rPr>
      </w:pPr>
      <w:bookmarkStart w:id="5" w:name="_Toc6637"/>
      <w:bookmarkStart w:id="6" w:name="_Toc18319"/>
      <w:r>
        <w:rPr>
          <w:rFonts w:hint="eastAsia"/>
        </w:rPr>
        <w:t>（一）研究背景</w:t>
      </w:r>
      <w:bookmarkEnd w:id="5"/>
      <w:bookmarkEnd w:id="6"/>
    </w:p>
    <w:p w14:paraId="3ACFC642">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心源性猝死（Sudden Cardiac Death,SCD）有隐匿性、发作迅速、意识突然丧失、呼吸困难等特点。近年来中青年猝死数量增多，据《中国心血管健康与疾病报告2023》数据显示，我国每年心脏性猝死人数约55万，院外抢救成功率低，且约40%猝死患者生前无明确心血管病史。心源性猝死风险与室性心律失常、心室颤动等心电异常相关，引起原因可能是心血管疾病、遗传学疾病或不科学的生活方式引起。心电图（ECG）作为无创、便捷、低成本的心脏检测手段，结合临床特征数据成为SCD风险识别的有效数据。常规临床筛查难以实现隐匿高危人群的早期识别，因此在健康中国发展战略背景下，关于心源性猝死的预测成为值得关注的研究方向。</w:t>
      </w:r>
    </w:p>
    <w:p w14:paraId="4FF5B5A1">
      <w:pPr>
        <w:pStyle w:val="3"/>
        <w:ind w:firstLine="560"/>
        <w:rPr>
          <w:rFonts w:hint="eastAsia"/>
        </w:rPr>
      </w:pPr>
      <w:bookmarkStart w:id="7" w:name="_Toc32766"/>
      <w:bookmarkStart w:id="8" w:name="_Toc2710"/>
      <w:r>
        <w:rPr>
          <w:rFonts w:hint="eastAsia"/>
        </w:rPr>
        <w:t>（二）研究意义</w:t>
      </w:r>
      <w:bookmarkEnd w:id="7"/>
      <w:bookmarkEnd w:id="8"/>
    </w:p>
    <w:p w14:paraId="2045D1A8">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随着医疗大数据与人工智能技术的发展，基于心电信号关于心脏高危风险预警研究越来越多。但现有研究高质量标注死亡原因数据较稀缺，难以支撑大规模模型训练。同时，单模态建模具有局限性，多数研究依赖心电信号单一数据源，未融合年龄、病史、检验指标等临床危险因素。此外，小规模金标准数据与真实临床ECG数据之间存在分布差异，如何实现高危的心电生理模式向无标注临床数据的有效迁移，仍是当前研究中的难点。因此，在稀缺真实SCD标签数据条件下，构建基于时间卷积网络的迁移学习与多源特征融合的风险预测模型，对提升临床风险预警能力与拓展医疗迁移学习应用具有重要意义。</w:t>
      </w:r>
    </w:p>
    <w:p w14:paraId="3188F0A6">
      <w:pPr>
        <w:pStyle w:val="3"/>
        <w:ind w:firstLine="560"/>
        <w:rPr>
          <w:rFonts w:hint="eastAsia"/>
        </w:rPr>
      </w:pPr>
      <w:bookmarkStart w:id="9" w:name="_Toc1682"/>
      <w:bookmarkStart w:id="10" w:name="_Toc22762"/>
      <w:bookmarkStart w:id="11" w:name="OLE_LINK1"/>
      <w:r>
        <w:rPr>
          <w:rFonts w:hint="eastAsia"/>
        </w:rPr>
        <w:t>（三）国内外研究现状</w:t>
      </w:r>
      <w:bookmarkEnd w:id="9"/>
      <w:bookmarkEnd w:id="10"/>
    </w:p>
    <w:bookmarkEnd w:id="11"/>
    <w:p w14:paraId="6D84E93E">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1.心源性猝死风险预测研究现状</w:t>
      </w:r>
    </w:p>
    <w:p w14:paraId="1EF4E0AB">
      <w:pPr>
        <w:ind w:firstLine="480"/>
        <w:rPr>
          <w:color w:val="000000" w:themeColor="text1"/>
          <w14:textFill>
            <w14:solidFill>
              <w14:schemeClr w14:val="tx1"/>
            </w14:solidFill>
          </w14:textFill>
        </w:rPr>
      </w:pPr>
      <w:r>
        <w:rPr>
          <w:color w:val="000000" w:themeColor="text1"/>
          <w14:textFill>
            <w14:solidFill>
              <w14:schemeClr w14:val="tx1"/>
            </w14:solidFill>
          </w14:textFill>
        </w:rPr>
        <w:t>SCD心电预测已从传统人工特征统计，逐步演进为</w:t>
      </w:r>
      <w:r>
        <w:rPr>
          <w:rFonts w:hint="eastAsia"/>
          <w:color w:val="000000" w:themeColor="text1"/>
          <w14:textFill>
            <w14:solidFill>
              <w14:schemeClr w14:val="tx1"/>
            </w14:solidFill>
          </w14:textFill>
        </w:rPr>
        <w:t>各种机器和</w:t>
      </w:r>
      <w:r>
        <w:rPr>
          <w:color w:val="000000" w:themeColor="text1"/>
          <w14:textFill>
            <w14:solidFill>
              <w14:schemeClr w14:val="tx1"/>
            </w14:solidFill>
          </w14:textFill>
        </w:rPr>
        <w:t>深度学习</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特征</w:t>
      </w:r>
      <w:r>
        <w:rPr>
          <w:rFonts w:hint="eastAsia"/>
          <w:color w:val="000000" w:themeColor="text1"/>
          <w14:textFill>
            <w14:solidFill>
              <w14:schemeClr w14:val="tx1"/>
            </w14:solidFill>
          </w14:textFill>
        </w:rPr>
        <w:t>统计</w:t>
      </w:r>
      <w:r>
        <w:rPr>
          <w:color w:val="000000" w:themeColor="text1"/>
          <w14:textFill>
            <w14:solidFill>
              <w14:schemeClr w14:val="tx1"/>
            </w14:solidFill>
          </w14:textFill>
        </w:rPr>
        <w:t>阶段。余燕婷</w:t>
      </w:r>
      <w:r>
        <w:rPr>
          <w:rFonts w:hint="eastAsia"/>
          <w:color w:val="000000" w:themeColor="text1"/>
          <w14:textFill>
            <w14:solidFill>
              <w14:schemeClr w14:val="tx1"/>
            </w14:solidFill>
          </w14:textFill>
        </w:rPr>
        <w:t>（2023）</w:t>
      </w:r>
      <w:r>
        <w:rPr>
          <w:color w:val="000000" w:themeColor="text1"/>
          <w14:textFill>
            <w14:solidFill>
              <w14:schemeClr w14:val="tx1"/>
            </w14:solidFill>
          </w14:textFill>
        </w:rPr>
        <w:t>构建</w:t>
      </w:r>
      <w:r>
        <w:rPr>
          <w:rFonts w:hint="eastAsia"/>
          <w:color w:val="000000" w:themeColor="text1"/>
          <w14:textFill>
            <w14:solidFill>
              <w14:schemeClr w14:val="tx1"/>
            </w14:solidFill>
          </w14:textFill>
        </w:rPr>
        <w:t>的速筛模型</w:t>
      </w:r>
      <w:r>
        <w:rPr>
          <w:color w:val="000000" w:themeColor="text1"/>
          <w14:textFill>
            <w14:solidFill>
              <w14:schemeClr w14:val="tx1"/>
            </w14:solidFill>
          </w14:textFill>
        </w:rPr>
        <w:t>完成</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SCD发作前</w:t>
      </w:r>
      <w:r>
        <w:rPr>
          <w:rFonts w:hint="eastAsia"/>
          <w:color w:val="000000" w:themeColor="text1"/>
          <w14:textFill>
            <w14:solidFill>
              <w14:schemeClr w14:val="tx1"/>
            </w14:solidFill>
          </w14:textFill>
        </w:rPr>
        <w:t>30</w:t>
      </w:r>
      <w:r>
        <w:rPr>
          <w:color w:val="000000" w:themeColor="text1"/>
          <w14:textFill>
            <w14:solidFill>
              <w14:schemeClr w14:val="tx1"/>
            </w14:solidFill>
          </w14:textFill>
        </w:rPr>
        <w:t>分钟内</w:t>
      </w:r>
      <w:r>
        <w:rPr>
          <w:rFonts w:hint="eastAsia"/>
          <w:color w:val="000000" w:themeColor="text1"/>
          <w14:textFill>
            <w14:solidFill>
              <w14:schemeClr w14:val="tx1"/>
            </w14:solidFill>
          </w14:textFill>
        </w:rPr>
        <w:t>的心电样本</w:t>
      </w:r>
      <w:r>
        <w:rPr>
          <w:color w:val="000000" w:themeColor="text1"/>
          <w14:textFill>
            <w14:solidFill>
              <w14:schemeClr w14:val="tx1"/>
            </w14:solidFill>
          </w14:textFill>
        </w:rPr>
        <w:t>分类</w:t>
      </w:r>
      <w:r>
        <w:rPr>
          <w:rFonts w:hint="eastAsia"/>
          <w:color w:val="000000" w:themeColor="text1"/>
          <w14:textFill>
            <w14:solidFill>
              <w14:schemeClr w14:val="tx1"/>
            </w14:solidFill>
          </w14:textFill>
        </w:rPr>
        <w:t>准确率</w:t>
      </w:r>
      <w:r>
        <w:rPr>
          <w:color w:val="000000" w:themeColor="text1"/>
          <w14:textFill>
            <w14:solidFill>
              <w14:schemeClr w14:val="tx1"/>
            </w14:solidFill>
          </w14:textFill>
        </w:rPr>
        <w:t>达到95.33%</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_Ref11088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color w:val="000000" w:themeColor="text1"/>
          <w14:textFill>
            <w14:solidFill>
              <w14:schemeClr w14:val="tx1"/>
            </w14:solidFill>
          </w14:textFill>
        </w:rPr>
        <w:t>廖杰</w:t>
      </w:r>
      <w:r>
        <w:rPr>
          <w:rFonts w:hint="eastAsia"/>
          <w:color w:val="000000" w:themeColor="text1"/>
          <w14:textFill>
            <w14:solidFill>
              <w14:schemeClr w14:val="tx1"/>
            </w14:solidFill>
          </w14:textFill>
        </w:rPr>
        <w:t>（2023）针对低信噪比单导联EGC信号</w:t>
      </w:r>
      <w:r>
        <w:rPr>
          <w:color w:val="000000" w:themeColor="text1"/>
          <w14:textFill>
            <w14:solidFill>
              <w14:schemeClr w14:val="tx1"/>
            </w14:solidFill>
          </w14:textFill>
        </w:rPr>
        <w:t>，提取心室晚电位、T波电交替等特征构建预测模型，在SCD发作前30分钟内实</w:t>
      </w:r>
      <w:r>
        <w:rPr>
          <w:rFonts w:hint="eastAsia"/>
          <w:color w:val="000000" w:themeColor="text1"/>
          <w14:textFill>
            <w14:solidFill>
              <w14:schemeClr w14:val="tx1"/>
            </w14:solidFill>
          </w14:textFill>
        </w:rPr>
        <w:t>达到</w:t>
      </w:r>
      <w:r>
        <w:rPr>
          <w:color w:val="000000" w:themeColor="text1"/>
          <w14:textFill>
            <w14:solidFill>
              <w14:schemeClr w14:val="tx1"/>
            </w14:solidFill>
          </w14:textFill>
        </w:rPr>
        <w:t>93.22%的</w:t>
      </w:r>
      <w:r>
        <w:rPr>
          <w:rFonts w:hint="eastAsia"/>
          <w:color w:val="000000" w:themeColor="text1"/>
          <w14:textFill>
            <w14:solidFill>
              <w14:schemeClr w14:val="tx1"/>
            </w14:solidFill>
          </w14:textFill>
        </w:rPr>
        <w:t>平均预测</w:t>
      </w:r>
      <w:r>
        <w:rPr>
          <w:color w:val="000000" w:themeColor="text1"/>
          <w14:textFill>
            <w14:solidFill>
              <w14:schemeClr w14:val="tx1"/>
            </w14:solidFill>
          </w14:textFill>
        </w:rPr>
        <w:t>准确率</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_Ref11346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[4]</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；孙志强</w:t>
      </w:r>
      <w:r>
        <w:rPr>
          <w:rFonts w:hint="eastAsia"/>
          <w:color w:val="000000" w:themeColor="text1"/>
          <w14:textFill>
            <w14:solidFill>
              <w14:schemeClr w14:val="tx1"/>
            </w14:solidFill>
          </w14:textFill>
        </w:rPr>
        <w:t>（2023）</w:t>
      </w:r>
      <w:r>
        <w:rPr>
          <w:color w:val="000000" w:themeColor="text1"/>
          <w14:textFill>
            <w14:solidFill>
              <w14:schemeClr w14:val="tx1"/>
            </w14:solidFill>
          </w14:textFill>
        </w:rPr>
        <w:t>基于心率变异性（HRV）多域特征融合，将SCD</w:t>
      </w:r>
      <w:r>
        <w:rPr>
          <w:rFonts w:hint="eastAsia"/>
          <w:color w:val="000000" w:themeColor="text1"/>
          <w14:textFill>
            <w14:solidFill>
              <w14:schemeClr w14:val="tx1"/>
            </w14:solidFill>
          </w14:textFill>
        </w:rPr>
        <w:t>预测时间提前</w:t>
      </w:r>
      <w:r>
        <w:rPr>
          <w:color w:val="000000" w:themeColor="text1"/>
          <w14:textFill>
            <w14:solidFill>
              <w14:schemeClr w14:val="tx1"/>
            </w14:solidFill>
          </w14:textFill>
        </w:rPr>
        <w:t>至发作前70分钟</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_Ref11369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[5]</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。上述研究</w:t>
      </w:r>
      <w:r>
        <w:rPr>
          <w:rFonts w:hint="eastAsia"/>
          <w:color w:val="000000" w:themeColor="text1"/>
          <w14:textFill>
            <w14:solidFill>
              <w14:schemeClr w14:val="tx1"/>
            </w14:solidFill>
          </w14:textFill>
        </w:rPr>
        <w:t>虽</w:t>
      </w:r>
      <w:r>
        <w:rPr>
          <w:color w:val="000000" w:themeColor="text1"/>
          <w14:textFill>
            <w14:solidFill>
              <w14:schemeClr w14:val="tx1"/>
            </w14:solidFill>
          </w14:textFill>
        </w:rPr>
        <w:t>验证了深度学习在SCD心电</w:t>
      </w:r>
      <w:r>
        <w:rPr>
          <w:rFonts w:hint="eastAsia"/>
          <w:color w:val="000000" w:themeColor="text1"/>
          <w14:textFill>
            <w14:solidFill>
              <w14:schemeClr w14:val="tx1"/>
            </w14:solidFill>
          </w14:textFill>
        </w:rPr>
        <w:t>研究</w:t>
      </w:r>
      <w:r>
        <w:rPr>
          <w:color w:val="000000" w:themeColor="text1"/>
          <w14:textFill>
            <w14:solidFill>
              <w14:schemeClr w14:val="tx1"/>
            </w14:solidFill>
          </w14:textFill>
        </w:rPr>
        <w:t>中</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有效性，但实际临床落地仍面临三大核心瓶颈</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高质量SCD标注数据稀缺。</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单模态建模存在</w:t>
      </w:r>
      <w:r>
        <w:rPr>
          <w:rFonts w:hint="eastAsia"/>
          <w:color w:val="000000" w:themeColor="text1"/>
          <w14:textFill>
            <w14:solidFill>
              <w14:schemeClr w14:val="tx1"/>
            </w14:solidFill>
          </w14:textFill>
        </w:rPr>
        <w:t>不足</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小样本知识迁移与弱监督学习技术应用</w:t>
      </w:r>
      <w:r>
        <w:rPr>
          <w:rFonts w:hint="eastAsia"/>
          <w:color w:val="000000" w:themeColor="text1"/>
          <w14:textFill>
            <w14:solidFill>
              <w14:schemeClr w14:val="tx1"/>
            </w14:solidFill>
          </w14:textFill>
        </w:rPr>
        <w:t>较少</w:t>
      </w:r>
      <w:r>
        <w:rPr>
          <w:color w:val="000000" w:themeColor="text1"/>
          <w14:textFill>
            <w14:solidFill>
              <w14:schemeClr w14:val="tx1"/>
            </w14:solidFill>
          </w14:textFill>
        </w:rPr>
        <w:t>。</w:t>
      </w:r>
    </w:p>
    <w:p w14:paraId="335BBE63">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2.心电深度学习与特征提取研究现状</w:t>
      </w:r>
    </w:p>
    <w:p w14:paraId="61A3B3A1">
      <w:pPr>
        <w:ind w:firstLine="480"/>
        <w:rPr>
          <w:color w:val="000000" w:themeColor="text1"/>
          <w14:textFill>
            <w14:solidFill>
              <w14:schemeClr w14:val="tx1"/>
            </w14:solidFill>
          </w14:textFill>
        </w:rPr>
      </w:pPr>
      <w:r>
        <w:rPr>
          <w:color w:val="000000" w:themeColor="text1"/>
          <w14:textFill>
            <w14:solidFill>
              <w14:schemeClr w14:val="tx1"/>
            </w14:solidFill>
          </w14:textFill>
        </w:rPr>
        <w:t>心电信号作为时序生理信号，易受基线漂移、肌电噪声</w:t>
      </w:r>
      <w:r>
        <w:rPr>
          <w:rFonts w:hint="eastAsia"/>
          <w:color w:val="000000" w:themeColor="text1"/>
          <w14:textFill>
            <w14:solidFill>
              <w14:schemeClr w14:val="tx1"/>
            </w14:solidFill>
          </w14:textFill>
        </w:rPr>
        <w:t>等</w:t>
      </w:r>
      <w:r>
        <w:rPr>
          <w:color w:val="000000" w:themeColor="text1"/>
          <w14:textFill>
            <w14:solidFill>
              <w14:schemeClr w14:val="tx1"/>
            </w14:solidFill>
          </w14:textFill>
        </w:rPr>
        <w:t>影响，预处理与特征提取是模型性能的</w:t>
      </w:r>
      <w:r>
        <w:rPr>
          <w:rFonts w:hint="eastAsia"/>
          <w:color w:val="000000" w:themeColor="text1"/>
          <w14:textFill>
            <w14:solidFill>
              <w14:schemeClr w14:val="tx1"/>
            </w14:solidFill>
          </w14:textFill>
        </w:rPr>
        <w:t>关键</w:t>
      </w:r>
      <w:r>
        <w:rPr>
          <w:color w:val="000000" w:themeColor="text1"/>
          <w14:textFill>
            <w14:solidFill>
              <w14:schemeClr w14:val="tx1"/>
            </w14:solidFill>
          </w14:textFill>
        </w:rPr>
        <w:t>。秦绍明等</w:t>
      </w:r>
      <w:r>
        <w:rPr>
          <w:rFonts w:hint="eastAsia"/>
          <w:color w:val="000000" w:themeColor="text1"/>
          <w14:textFill>
            <w14:solidFill>
              <w14:schemeClr w14:val="tx1"/>
            </w14:solidFill>
          </w14:textFill>
        </w:rPr>
        <w:t>（2026）</w:t>
      </w:r>
      <w:r>
        <w:rPr>
          <w:color w:val="000000" w:themeColor="text1"/>
          <w14:textFill>
            <w14:solidFill>
              <w14:schemeClr w14:val="tx1"/>
            </w14:solidFill>
          </w14:textFill>
        </w:rPr>
        <w:t>提出小波变换与卡尔曼滤波协同去噪算法，在滤除噪声的同时</w:t>
      </w:r>
      <w:r>
        <w:rPr>
          <w:rFonts w:hint="eastAsia"/>
          <w:color w:val="000000" w:themeColor="text1"/>
          <w14:textFill>
            <w14:solidFill>
              <w14:schemeClr w14:val="tx1"/>
            </w14:solidFill>
          </w14:textFill>
        </w:rPr>
        <w:t>较好地</w:t>
      </w:r>
      <w:r>
        <w:rPr>
          <w:color w:val="000000" w:themeColor="text1"/>
          <w14:textFill>
            <w14:solidFill>
              <w14:schemeClr w14:val="tx1"/>
            </w14:solidFill>
          </w14:textFill>
        </w:rPr>
        <w:t>保留心电关键特征</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_Ref11454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[6]</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；张显才等</w:t>
      </w:r>
      <w:r>
        <w:rPr>
          <w:rFonts w:hint="eastAsia"/>
          <w:color w:val="000000" w:themeColor="text1"/>
          <w14:textFill>
            <w14:solidFill>
              <w14:schemeClr w14:val="tx1"/>
            </w14:solidFill>
          </w14:textFill>
        </w:rPr>
        <w:t>（2025）</w:t>
      </w:r>
      <w:r>
        <w:rPr>
          <w:color w:val="000000" w:themeColor="text1"/>
          <w14:textFill>
            <w14:solidFill>
              <w14:schemeClr w14:val="tx1"/>
            </w14:solidFill>
          </w14:textFill>
        </w:rPr>
        <w:t>采用小波阈值去噪技术消除</w:t>
      </w:r>
      <w:r>
        <w:rPr>
          <w:rFonts w:hint="eastAsia"/>
          <w:color w:val="000000" w:themeColor="text1"/>
          <w14:textFill>
            <w14:solidFill>
              <w14:schemeClr w14:val="tx1"/>
            </w14:solidFill>
          </w14:textFill>
        </w:rPr>
        <w:t>噪声</w:t>
      </w:r>
      <w:r>
        <w:rPr>
          <w:color w:val="000000" w:themeColor="text1"/>
          <w14:textFill>
            <w14:solidFill>
              <w14:schemeClr w14:val="tx1"/>
            </w14:solidFill>
          </w14:textFill>
        </w:rPr>
        <w:t>干扰，提升后续分类稳定性</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_Ref11480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[7]</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；王毓结合中值滤波与小波</w:t>
      </w:r>
      <w:r>
        <w:rPr>
          <w:rFonts w:hint="eastAsia"/>
          <w:color w:val="000000" w:themeColor="text1"/>
          <w14:textFill>
            <w14:solidFill>
              <w14:schemeClr w14:val="tx1"/>
            </w14:solidFill>
          </w14:textFill>
        </w:rPr>
        <w:t>阈值的方法</w:t>
      </w:r>
      <w:r>
        <w:rPr>
          <w:color w:val="000000" w:themeColor="text1"/>
          <w14:textFill>
            <w14:solidFill>
              <w14:schemeClr w14:val="tx1"/>
            </w14:solidFill>
          </w14:textFill>
        </w:rPr>
        <w:t>去噪，</w:t>
      </w:r>
      <w:r>
        <w:rPr>
          <w:rFonts w:hint="eastAsia"/>
          <w:color w:val="000000" w:themeColor="text1"/>
          <w14:textFill>
            <w14:solidFill>
              <w14:schemeClr w14:val="tx1"/>
            </w14:solidFill>
          </w14:textFill>
        </w:rPr>
        <w:t>改进</w:t>
      </w:r>
      <w:r>
        <w:rPr>
          <w:color w:val="000000" w:themeColor="text1"/>
          <w14:textFill>
            <w14:solidFill>
              <w14:schemeClr w14:val="tx1"/>
            </w14:solidFill>
          </w14:textFill>
        </w:rPr>
        <w:t>Pan-Tompkins算法</w:t>
      </w:r>
      <w:r>
        <w:rPr>
          <w:rFonts w:hint="eastAsia"/>
          <w:color w:val="000000" w:themeColor="text1"/>
          <w14:textFill>
            <w14:solidFill>
              <w14:schemeClr w14:val="tx1"/>
            </w14:solidFill>
          </w14:textFill>
        </w:rPr>
        <w:t>提高R波检查的准确性</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_Ref11513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[8]</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；在特征提取方面；郭禧斌</w:t>
      </w:r>
      <w:r>
        <w:rPr>
          <w:rFonts w:hint="eastAsia"/>
          <w:color w:val="000000" w:themeColor="text1"/>
          <w14:textFill>
            <w14:solidFill>
              <w14:schemeClr w14:val="tx1"/>
            </w14:solidFill>
          </w14:textFill>
        </w:rPr>
        <w:t>等（2025）</w:t>
      </w:r>
      <w:r>
        <w:rPr>
          <w:color w:val="000000" w:themeColor="text1"/>
          <w14:textFill>
            <w14:solidFill>
              <w14:schemeClr w14:val="tx1"/>
            </w14:solidFill>
          </w14:textFill>
        </w:rPr>
        <w:t>采用</w:t>
      </w:r>
      <w:r>
        <w:rPr>
          <w:rFonts w:hint="eastAsia"/>
          <w:color w:val="000000" w:themeColor="text1"/>
          <w14:textFill>
            <w14:solidFill>
              <w14:schemeClr w14:val="tx1"/>
            </w14:solidFill>
          </w14:textFill>
        </w:rPr>
        <w:t>多尺度融合特征的卷积神经网络提升心电信号的特征提取能力</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_Ref11620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[9]</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color w:val="000000" w:themeColor="text1"/>
          <w14:textFill>
            <w14:solidFill>
              <w14:schemeClr w14:val="tx1"/>
            </w14:solidFill>
          </w14:textFill>
        </w:rPr>
        <w:t>赵喆等</w:t>
      </w:r>
      <w:r>
        <w:rPr>
          <w:rFonts w:hint="eastAsia"/>
          <w:color w:val="000000" w:themeColor="text1"/>
          <w14:textFill>
            <w14:solidFill>
              <w14:schemeClr w14:val="tx1"/>
            </w14:solidFill>
          </w14:textFill>
        </w:rPr>
        <w:t>（2026）通过提取超短时HRV特征来进行心律失常分类</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_Ref11722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[10]</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w:t>
      </w:r>
      <w:r>
        <w:rPr>
          <w:rFonts w:hint="eastAsia"/>
          <w:color w:val="000000" w:themeColor="text1"/>
          <w14:textFill>
            <w14:solidFill>
              <w14:schemeClr w14:val="tx1"/>
            </w14:solidFill>
          </w14:textFill>
        </w:rPr>
        <w:t>渠梦等（2025）设计的新型ResLSTM-TemporalSE网络模型捕捉ECG信号的时间依赖性</w:t>
      </w:r>
      <w:r>
        <w:rPr>
          <w:rFonts w:hint="eastAsia"/>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_Ref11725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[11]</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color w:val="000000" w:themeColor="text1"/>
          <w14:textFill>
            <w14:solidFill>
              <w14:schemeClr w14:val="tx1"/>
            </w14:solidFill>
          </w14:textFill>
        </w:rPr>
        <w:t>但现有研究多聚焦于短期心电异常分类，未针对无标注临床数据设计特征迁移与复用方案，模型泛化能力</w:t>
      </w:r>
      <w:r>
        <w:rPr>
          <w:rFonts w:hint="eastAsia"/>
          <w:color w:val="000000" w:themeColor="text1"/>
          <w14:textFill>
            <w14:solidFill>
              <w14:schemeClr w14:val="tx1"/>
            </w14:solidFill>
          </w14:textFill>
        </w:rPr>
        <w:t>有待提升</w:t>
      </w:r>
      <w:r>
        <w:rPr>
          <w:color w:val="000000" w:themeColor="text1"/>
          <w14:textFill>
            <w14:solidFill>
              <w14:schemeClr w14:val="tx1"/>
            </w14:solidFill>
          </w14:textFill>
        </w:rPr>
        <w:t>。</w:t>
      </w:r>
    </w:p>
    <w:p w14:paraId="602F1542">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3.迁移学习在心电领域的应用现状</w:t>
      </w:r>
    </w:p>
    <w:p w14:paraId="094F62CA">
      <w:pPr>
        <w:ind w:firstLine="480"/>
        <w:rPr>
          <w:color w:val="000000" w:themeColor="text1"/>
          <w14:textFill>
            <w14:solidFill>
              <w14:schemeClr w14:val="tx1"/>
            </w14:solidFill>
          </w14:textFill>
        </w:rPr>
      </w:pPr>
      <w:r>
        <w:rPr>
          <w:color w:val="000000" w:themeColor="text1"/>
          <w14:textFill>
            <w14:solidFill>
              <w14:schemeClr w14:val="tx1"/>
            </w14:solidFill>
          </w14:textFill>
        </w:rPr>
        <w:t>迁移学习是解决心电标注数据稀缺的关键技术，已在心律失常、心肌梗死等任务中得到验证。傅国华等</w:t>
      </w:r>
      <w:r>
        <w:rPr>
          <w:rFonts w:hint="eastAsia"/>
          <w:color w:val="000000" w:themeColor="text1"/>
          <w14:textFill>
            <w14:solidFill>
              <w14:schemeClr w14:val="tx1"/>
            </w14:solidFill>
          </w14:textFill>
        </w:rPr>
        <w:t>（2024）通过对心律失常研究数据库对深度学习模型作为迁移学习方法进行训练并验证</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_Ref11232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；樊明辉等</w:t>
      </w:r>
      <w:r>
        <w:rPr>
          <w:rFonts w:hint="eastAsia"/>
          <w:color w:val="000000" w:themeColor="text1"/>
          <w14:textFill>
            <w14:solidFill>
              <w14:schemeClr w14:val="tx1"/>
            </w14:solidFill>
          </w14:textFill>
        </w:rPr>
        <w:t>（2025）</w:t>
      </w:r>
      <w:r>
        <w:rPr>
          <w:color w:val="000000" w:themeColor="text1"/>
          <w14:textFill>
            <w14:solidFill>
              <w14:schemeClr w14:val="tx1"/>
            </w14:solidFill>
          </w14:textFill>
        </w:rPr>
        <w:t>将心电预训练模型迁移至</w:t>
      </w:r>
      <w:r>
        <w:rPr>
          <w:rFonts w:hint="eastAsia"/>
          <w:color w:val="000000" w:themeColor="text1"/>
          <w14:textFill>
            <w14:solidFill>
              <w14:schemeClr w14:val="tx1"/>
            </w14:solidFill>
          </w14:textFill>
        </w:rPr>
        <w:t>呼吸信号域进行优化</w:t>
      </w:r>
      <w:r>
        <w:rPr>
          <w:color w:val="000000" w:themeColor="text1"/>
          <w14:textFill>
            <w14:solidFill>
              <w14:schemeClr w14:val="tx1"/>
            </w14:solidFill>
          </w14:textFill>
        </w:rPr>
        <w:t>，加快模型收敛速度</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_Ref11885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[12]</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。半监督学习中的伪标签技术可进一步扩充训练样本；Weimann等</w:t>
      </w:r>
      <w:r>
        <w:rPr>
          <w:rFonts w:hint="eastAsia"/>
          <w:color w:val="000000" w:themeColor="text1"/>
          <w14:textFill>
            <w14:solidFill>
              <w14:schemeClr w14:val="tx1"/>
            </w14:solidFill>
          </w14:textFill>
        </w:rPr>
        <w:t>（2021）</w:t>
      </w:r>
      <w:r>
        <w:rPr>
          <w:color w:val="000000" w:themeColor="text1"/>
          <w14:textFill>
            <w14:solidFill>
              <w14:schemeClr w14:val="tx1"/>
            </w14:solidFill>
          </w14:textFill>
        </w:rPr>
        <w:t>通过预训练</w:t>
      </w:r>
      <w:r>
        <w:rPr>
          <w:rFonts w:hint="eastAsia"/>
          <w:color w:val="000000" w:themeColor="text1"/>
          <w14:textFill>
            <w14:solidFill>
              <w14:schemeClr w14:val="tx1"/>
            </w14:solidFill>
          </w14:textFill>
        </w:rPr>
        <w:t>CNN</w:t>
      </w:r>
      <w:r>
        <w:rPr>
          <w:color w:val="000000" w:themeColor="text1"/>
          <w14:textFill>
            <w14:solidFill>
              <w14:schemeClr w14:val="tx1"/>
            </w14:solidFill>
          </w14:textFill>
        </w:rPr>
        <w:t>与小样本</w:t>
      </w:r>
      <w:r>
        <w:rPr>
          <w:rFonts w:hint="eastAsia"/>
          <w:color w:val="000000" w:themeColor="text1"/>
          <w14:textFill>
            <w14:solidFill>
              <w14:schemeClr w14:val="tx1"/>
            </w14:solidFill>
          </w14:textFill>
        </w:rPr>
        <w:t>上微调网络有效减少了未训练所需的注释数量</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_Ref11777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[18]</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；Monachino等</w:t>
      </w:r>
      <w:r>
        <w:rPr>
          <w:rFonts w:hint="eastAsia"/>
          <w:color w:val="000000" w:themeColor="text1"/>
          <w14:textFill>
            <w14:solidFill>
              <w14:schemeClr w14:val="tx1"/>
            </w14:solidFill>
          </w14:textFill>
        </w:rPr>
        <w:t>（2025）</w:t>
      </w:r>
      <w:r>
        <w:rPr>
          <w:color w:val="000000" w:themeColor="text1"/>
          <w14:textFill>
            <w14:solidFill>
              <w14:schemeClr w14:val="tx1"/>
            </w14:solidFill>
          </w14:textFill>
        </w:rPr>
        <w:t>基于迁移学习</w:t>
      </w:r>
      <w:r>
        <w:rPr>
          <w:rFonts w:hint="eastAsia"/>
          <w:color w:val="000000" w:themeColor="text1"/>
          <w14:textFill>
            <w14:solidFill>
              <w14:schemeClr w14:val="tx1"/>
            </w14:solidFill>
          </w14:textFill>
        </w:rPr>
        <w:t>方法有效解决数据稀缺问题</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_Ref11862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[19]</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w:t>
      </w:r>
      <w:r>
        <w:rPr>
          <w:color w:val="000000" w:themeColor="text1"/>
          <w14:textFill>
            <w14:solidFill>
              <w14:schemeClr w14:val="tx1"/>
            </w14:solidFill>
          </w14:textFill>
        </w:rPr>
        <w:t>Zhang等</w:t>
      </w:r>
      <w:r>
        <w:rPr>
          <w:rFonts w:hint="eastAsia"/>
          <w:color w:val="000000" w:themeColor="text1"/>
          <w14:textFill>
            <w14:solidFill>
              <w14:schemeClr w14:val="tx1"/>
            </w14:solidFill>
          </w14:textFill>
        </w:rPr>
        <w:t>（2022）采用半监督学习技术用心电图进行自动进行自动心电检测，数据</w:t>
      </w:r>
      <w:r>
        <w:rPr>
          <w:color w:val="000000" w:themeColor="text1"/>
          <w14:textFill>
            <w14:solidFill>
              <w14:schemeClr w14:val="tx1"/>
            </w14:solidFill>
          </w14:textFill>
        </w:rPr>
        <w:t>标注工作量降低98%</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_Ref11924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[20]</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；Rahman等</w:t>
      </w:r>
      <w:r>
        <w:rPr>
          <w:rFonts w:hint="eastAsia"/>
          <w:color w:val="000000" w:themeColor="text1"/>
          <w14:textFill>
            <w14:solidFill>
              <w14:schemeClr w14:val="tx1"/>
            </w14:solidFill>
          </w14:textFill>
        </w:rPr>
        <w:t>（2026）</w:t>
      </w:r>
      <w:r>
        <w:rPr>
          <w:color w:val="000000" w:themeColor="text1"/>
          <w14:textFill>
            <w14:solidFill>
              <w14:schemeClr w14:val="tx1"/>
            </w14:solidFill>
          </w14:textFill>
        </w:rPr>
        <w:t>采用半监督对比学习结合伪标签，</w:t>
      </w:r>
      <w:r>
        <w:rPr>
          <w:rFonts w:hint="eastAsia"/>
          <w:color w:val="000000" w:themeColor="text1"/>
          <w14:textFill>
            <w14:solidFill>
              <w14:schemeClr w14:val="tx1"/>
            </w14:solidFill>
          </w14:textFill>
        </w:rPr>
        <w:t>在标注数据极少的情况下实现了分类性能</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_Ref11947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[21]</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；Shi等</w:t>
      </w:r>
      <w:r>
        <w:rPr>
          <w:rFonts w:hint="eastAsia"/>
          <w:color w:val="000000" w:themeColor="text1"/>
          <w14:textFill>
            <w14:solidFill>
              <w14:schemeClr w14:val="tx1"/>
            </w14:solidFill>
          </w14:textFill>
        </w:rPr>
        <w:t>（2024）基于</w:t>
      </w:r>
      <w:r>
        <w:rPr>
          <w:color w:val="000000" w:themeColor="text1"/>
          <w14:textFill>
            <w14:solidFill>
              <w14:schemeClr w14:val="tx1"/>
            </w14:solidFill>
          </w14:textFill>
        </w:rPr>
        <w:t>阈值</w:t>
      </w:r>
      <w:r>
        <w:rPr>
          <w:rFonts w:hint="eastAsia"/>
          <w:color w:val="000000" w:themeColor="text1"/>
          <w14:textFill>
            <w14:solidFill>
              <w14:schemeClr w14:val="tx1"/>
            </w14:solidFill>
          </w14:textFill>
        </w:rPr>
        <w:t>自适应半监督学习模型比纯监督学习准确率提升5.15%</w:t>
      </w:r>
      <w:r>
        <w:rPr>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_Ref11966 \r \h  \* MERGEFORMAT</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[22]</w:t>
      </w:r>
      <w:r>
        <w:rPr>
          <w:color w:val="000000" w:themeColor="text1"/>
          <w:vertAlign w:val="superscript"/>
          <w14:textFill>
            <w14:solidFill>
              <w14:schemeClr w14:val="tx1"/>
            </w14:solidFill>
          </w14:textFill>
        </w:rPr>
        <w:fldChar w:fldCharType="end"/>
      </w:r>
      <w:r>
        <w:rPr>
          <w:color w:val="000000" w:themeColor="text1"/>
          <w14:textFill>
            <w14:solidFill>
              <w14:schemeClr w14:val="tx1"/>
            </w14:solidFill>
          </w14:textFill>
        </w:rPr>
        <w:t>。但在SCD识别领域，迁移学习与伪标签的联合应用</w:t>
      </w:r>
      <w:r>
        <w:rPr>
          <w:rFonts w:hint="eastAsia"/>
          <w:color w:val="000000" w:themeColor="text1"/>
          <w14:textFill>
            <w14:solidFill>
              <w14:schemeClr w14:val="tx1"/>
            </w14:solidFill>
          </w14:textFill>
        </w:rPr>
        <w:t>还较少</w:t>
      </w:r>
      <w:r>
        <w:rPr>
          <w:color w:val="000000" w:themeColor="text1"/>
          <w14:textFill>
            <w14:solidFill>
              <w14:schemeClr w14:val="tx1"/>
            </w14:solidFill>
          </w14:textFill>
        </w:rPr>
        <w:t>。</w:t>
      </w:r>
    </w:p>
    <w:p w14:paraId="458DA2BE">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4.多源数据融合在SCD预测中的应用现状</w:t>
      </w:r>
    </w:p>
    <w:p w14:paraId="65A93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多源数据融合能够实现心电即时信号与临床基础风险的互补，是提升预测精度的核心方法。陈泽贤等（2025）将QRS时限、QTc间期等心电参数与TG/HDL-C、Hcy/HDL-C等生化指标融合，预测AMI术后MACE的AUC达到0.862</w:t>
      </w:r>
      <w:r>
        <w:rPr>
          <w:rFonts w:hint="eastAsia"/>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_Ref11212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[2]</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；龚欢欢等（2023）基于MIMIC-IV数据库融合82项临床特征构建心脏骤停风险模型，证实LGBM模型性能最优</w:t>
      </w:r>
      <w:r>
        <w:rPr>
          <w:rFonts w:hint="eastAsia"/>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_Ref11999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[13]</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；张彬阳（2025）、葛昭阳（2022）分别提出多模态融合与多源特征互补方法，进一步验证了融合策略的有效性</w:t>
      </w:r>
      <w:r>
        <w:rPr>
          <w:rFonts w:hint="eastAsia"/>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_Ref12153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[14]</w:t>
      </w:r>
      <w:r>
        <w:rPr>
          <w:rFonts w:hint="eastAsia"/>
          <w:color w:val="000000" w:themeColor="text1"/>
          <w:vertAlign w:val="superscript"/>
          <w14:textFill>
            <w14:solidFill>
              <w14:schemeClr w14:val="tx1"/>
            </w14:solidFill>
          </w14:textFill>
        </w:rPr>
        <w:fldChar w:fldCharType="end"/>
      </w:r>
      <w:r>
        <w:rPr>
          <w:rFonts w:hint="eastAsia"/>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_Ref12159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[15]</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；Swee等（2026）提出多模态融合框架，所得结果表明多模态模型始终由于单模态基线</w:t>
      </w:r>
      <w:r>
        <w:rPr>
          <w:rFonts w:hint="eastAsia"/>
          <w:color w:val="000000" w:themeColor="text1"/>
          <w:vertAlign w:val="superscript"/>
          <w14:textFill>
            <w14:solidFill>
              <w14:schemeClr w14:val="tx1"/>
            </w14:solidFill>
          </w14:textFill>
        </w:rPr>
        <w:fldChar w:fldCharType="begin"/>
      </w:r>
      <w:r>
        <w:rPr>
          <w:color w:val="000000" w:themeColor="text1"/>
          <w14:textFill>
            <w14:solidFill>
              <w14:schemeClr w14:val="tx1"/>
            </w14:solidFill>
          </w14:textFill>
        </w:rPr>
        <w:instrText xml:space="preserve"> REF _Ref12068 \r \h  \* MERGEFORMAT</w:instrText>
      </w:r>
      <w:r>
        <w:rPr>
          <w:rFonts w:hint="eastAsia"/>
          <w:color w:val="000000" w:themeColor="text1"/>
          <w:vertAlign w:val="superscript"/>
          <w14:textFill>
            <w14:solidFill>
              <w14:schemeClr w14:val="tx1"/>
            </w14:solidFill>
          </w14:textFill>
        </w:rPr>
        <w:fldChar w:fldCharType="separate"/>
      </w:r>
      <w:r>
        <w:rPr>
          <w:rFonts w:hint="eastAsia"/>
          <w:color w:val="000000" w:themeColor="text1"/>
          <w:vertAlign w:val="superscript"/>
          <w14:textFill>
            <w14:solidFill>
              <w14:schemeClr w14:val="tx1"/>
            </w14:solidFill>
          </w14:textFill>
        </w:rPr>
        <w:t>[23]</w:t>
      </w:r>
      <w:r>
        <w:rPr>
          <w:rFonts w:hint="eastAsia"/>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。但现有融合研究多基于有标注数据，较少出现面向无标注临床心电的SCD融合识别模型。</w:t>
      </w:r>
    </w:p>
    <w:p w14:paraId="27DCF86E">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5.研究评述</w:t>
      </w:r>
    </w:p>
    <w:p w14:paraId="633364E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综上，国内外在SCD风险预测、心电特征提取、多源融合等领域已取得一定成果，但仍存在三大核心不足：一是临床心电数据缺乏真实SDC死因标签，难以直接开展大规模监督学习；二是单模态建模较多，心电与临床数据的融合深度不足；三是迁移学习与深度表征学习在SCD识别中的联合应用较少。本文立足上述缺口，以外部源域心电数据为表征学习基础，以MIMIC-IV-ECG临床心电数据和MIMIC-IV临床结构化数据为目标域数据，构建基于迁移学习、深度表征学习与多源融合的SCD风险预测模型，具有创新性与必要性。</w:t>
      </w:r>
    </w:p>
    <w:p w14:paraId="45B21289">
      <w:pPr>
        <w:pStyle w:val="3"/>
        <w:ind w:firstLine="560"/>
        <w:rPr>
          <w:rFonts w:hint="eastAsia"/>
        </w:rPr>
      </w:pPr>
      <w:bookmarkStart w:id="12" w:name="_Toc27701"/>
      <w:bookmarkStart w:id="13" w:name="_Toc8034"/>
      <w:r>
        <w:rPr>
          <w:rFonts w:hint="eastAsia"/>
        </w:rPr>
        <w:t>（四）研究内容</w:t>
      </w:r>
      <w:bookmarkEnd w:id="12"/>
      <w:bookmarkEnd w:id="13"/>
    </w:p>
    <w:p w14:paraId="5B7DE2D7">
      <w:pPr>
        <w:pStyle w:val="3"/>
        <w:ind w:firstLine="480"/>
        <w:rPr>
          <w:rFonts w:eastAsia="宋体" w:cstheme="minorBidi"/>
          <w:color w:val="000000" w:themeColor="text1"/>
          <w:sz w:val="24"/>
          <w:szCs w:val="22"/>
          <w14:textFill>
            <w14:solidFill>
              <w14:schemeClr w14:val="tx1"/>
            </w14:solidFill>
          </w14:textFill>
        </w:rPr>
      </w:pPr>
      <w:bookmarkStart w:id="14" w:name="_Toc2129"/>
      <w:bookmarkStart w:id="15" w:name="_Toc21145"/>
      <w:bookmarkStart w:id="16" w:name="_Toc14415"/>
      <w:bookmarkStart w:id="17" w:name="_Toc8385"/>
      <w:bookmarkStart w:id="18" w:name="_Toc23230"/>
      <w:r>
        <w:rPr>
          <w:rFonts w:hint="eastAsia" w:eastAsia="宋体" w:cstheme="minorBidi"/>
          <w:color w:val="000000" w:themeColor="text1"/>
          <w:sz w:val="24"/>
          <w:szCs w:val="22"/>
          <w14:textFill>
            <w14:solidFill>
              <w14:schemeClr w14:val="tx1"/>
            </w14:solidFill>
          </w14:textFill>
        </w:rPr>
        <w:t>本研究以心源性猝死风险预测为目标，基于公开心电与临床数据库，构建基于TCN迁移学习的多源特征融合心源性猝死风险预警模型，旨在解决大规模临床心电数据缺乏标准真实的SDC死因标签、单模态建模信息不足的问题，实现高危患者的早期风险预测。首先完成多源心电与临床数据的整合与标准化预处理，开展数据清洗、异常值修正与特征筛选，构建高质量建模数据集；其次搭建基于时间卷积网络的学习框架，利用心电数据训练时序特征提取模型，通过迁移学习对临床心电数据提取心电高危风险表征；随后引入LASSO回归方法对初始特征集进行关键变量筛选，剔除冗余噪声特征；接着构建“心电+临床”多源特征融合体系，实现心电深度特征与临床结构化特征的互补融合，选定泛化能力与稳定性更优的XGBoost作为核心模型；最后展开模型有效性验证与可解释性分析，通过交叉验证、置信区间估计评估模型稳定性，并基于SHAP值完成特征贡献分析与风险分层验证，为模型的临床应用提供支撑。</w:t>
      </w:r>
      <w:bookmarkEnd w:id="14"/>
      <w:bookmarkEnd w:id="15"/>
      <w:bookmarkEnd w:id="16"/>
      <w:bookmarkEnd w:id="17"/>
      <w:bookmarkEnd w:id="18"/>
    </w:p>
    <w:p w14:paraId="0774407B">
      <w:pPr>
        <w:pStyle w:val="3"/>
        <w:ind w:firstLine="560"/>
        <w:rPr>
          <w:rFonts w:hint="eastAsia"/>
        </w:rPr>
      </w:pPr>
      <w:bookmarkStart w:id="19" w:name="_Toc13558"/>
      <w:bookmarkStart w:id="20" w:name="_Toc29324"/>
      <w:r>
        <w:rPr>
          <w:rFonts w:hint="eastAsia"/>
        </w:rPr>
        <w:t>（五）创新点</w:t>
      </w:r>
      <w:bookmarkEnd w:id="19"/>
      <w:bookmarkEnd w:id="20"/>
    </w:p>
    <w:p w14:paraId="11DA512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1.提出基于TCN迁移学习的心电高危风险表征提取方案，将心电数据的时序特征知识迁移至大规模临床心电数据，为心电数据生成更加标准化的风险表征变量，破解SCD研究中高质量标注数据稀缺的瓶颈。</w:t>
      </w:r>
    </w:p>
    <w:p w14:paraId="7F680D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构建心电深度特征与临床结构化特征的特征级融合体系，结合LASSO回归实现关键特征的自动筛选，突破传统单心电或单临床建模的信息局限，实现时序心电异常与静态临床风险的建模，提升关于心源性猝死的高危风险预测能力。</w:t>
      </w:r>
    </w:p>
    <w:p w14:paraId="55EAFEE2">
      <w:pPr>
        <w:ind w:firstLine="480"/>
      </w:pPr>
      <w:r>
        <w:rPr>
          <w:rFonts w:hint="eastAsia"/>
        </w:rPr>
        <w:t>3.建立具泛化性与可解释性的SCD风险预测模型，优选XGBoost为核心模型并结合SHAP值完成特征贡献解析与风险分层验证。</w:t>
      </w:r>
    </w:p>
    <w:p w14:paraId="33411086">
      <w:pPr>
        <w:pStyle w:val="3"/>
        <w:ind w:firstLine="560"/>
        <w:rPr>
          <w:rFonts w:hint="eastAsia"/>
        </w:rPr>
      </w:pPr>
      <w:bookmarkStart w:id="21" w:name="_Toc14643"/>
      <w:bookmarkStart w:id="22" w:name="_Toc26711"/>
      <w:r>
        <w:rPr>
          <w:rFonts w:hint="eastAsia"/>
        </w:rPr>
        <w:t>（六）研究框架</w:t>
      </w:r>
      <w:bookmarkEnd w:id="21"/>
      <w:bookmarkEnd w:id="22"/>
    </w:p>
    <w:p w14:paraId="6223B826">
      <w:pPr>
        <w:ind w:firstLine="480"/>
      </w:pPr>
      <w:r>
        <w:rPr>
          <w:rFonts w:hint="eastAsia"/>
        </w:rPr>
        <w:t>本文的总体研究方案如图1所示。</w:t>
      </w:r>
    </w:p>
    <w:p w14:paraId="0F5C70FC">
      <w:pPr>
        <w:spacing w:line="240" w:lineRule="auto"/>
        <w:ind w:firstLine="0" w:firstLineChars="0"/>
        <w:jc w:val="center"/>
      </w:pPr>
      <w:r>
        <w:rPr>
          <w:rFonts w:hint="eastAsia"/>
        </w:rPr>
        <w:drawing>
          <wp:inline distT="0" distB="0" distL="114300" distR="114300">
            <wp:extent cx="5012690" cy="5726430"/>
            <wp:effectExtent l="0" t="0" r="3810" b="1270"/>
            <wp:docPr id="9" name="图片 9" descr="ecg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cg框架.drawio"/>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012690" cy="5726430"/>
                    </a:xfrm>
                    <a:prstGeom prst="rect">
                      <a:avLst/>
                    </a:prstGeom>
                  </pic:spPr>
                </pic:pic>
              </a:graphicData>
            </a:graphic>
          </wp:inline>
        </w:drawing>
      </w:r>
    </w:p>
    <w:p w14:paraId="68672B97">
      <w:pPr>
        <w:pStyle w:val="5"/>
        <w:ind w:firstLine="480"/>
      </w:pPr>
      <w:bookmarkStart w:id="23" w:name="_Toc27027"/>
      <w:bookmarkStart w:id="24" w:name="_Toc196264252"/>
      <w:r>
        <w:t>图</w:t>
      </w:r>
      <w:r>
        <w:fldChar w:fldCharType="begin"/>
      </w:r>
      <w:r>
        <w:instrText xml:space="preserve"> SEQ 图 \* ARABIC </w:instrText>
      </w:r>
      <w:r>
        <w:fldChar w:fldCharType="separate"/>
      </w:r>
      <w:r>
        <w:t>1</w:t>
      </w:r>
      <w:r>
        <w:fldChar w:fldCharType="end"/>
      </w:r>
      <w:bookmarkStart w:id="25" w:name="_Toc28239"/>
      <w:r>
        <w:rPr>
          <w:rFonts w:hint="eastAsia"/>
        </w:rPr>
        <w:t xml:space="preserve"> 研究框架图</w:t>
      </w:r>
      <w:bookmarkEnd w:id="23"/>
      <w:bookmarkEnd w:id="24"/>
      <w:bookmarkEnd w:id="25"/>
    </w:p>
    <w:p w14:paraId="59003AF6">
      <w:pPr>
        <w:pStyle w:val="2"/>
        <w:jc w:val="center"/>
        <w:sectPr>
          <w:footerReference r:id="rId15" w:type="default"/>
          <w:pgSz w:w="11906" w:h="16838"/>
          <w:pgMar w:top="1440" w:right="1800" w:bottom="1440" w:left="1800" w:header="851" w:footer="992" w:gutter="0"/>
          <w:pgNumType w:start="1"/>
          <w:cols w:space="425" w:num="1"/>
          <w:docGrid w:type="lines" w:linePitch="312" w:charSpace="0"/>
        </w:sectPr>
      </w:pPr>
    </w:p>
    <w:p w14:paraId="78E2D9E9">
      <w:pPr>
        <w:pStyle w:val="2"/>
        <w:jc w:val="center"/>
      </w:pPr>
      <w:bookmarkStart w:id="26" w:name="_Toc4936"/>
      <w:bookmarkStart w:id="27" w:name="_Toc21017"/>
      <w:r>
        <w:rPr>
          <w:rFonts w:hint="eastAsia"/>
        </w:rPr>
        <w:t>二、相关理论基础</w:t>
      </w:r>
      <w:bookmarkEnd w:id="26"/>
      <w:bookmarkEnd w:id="27"/>
    </w:p>
    <w:p w14:paraId="31CECB16">
      <w:pPr>
        <w:pStyle w:val="3"/>
        <w:ind w:firstLine="560"/>
      </w:pPr>
      <w:bookmarkStart w:id="28" w:name="_Toc9799"/>
      <w:bookmarkStart w:id="29" w:name="_Toc24998"/>
      <w:r>
        <w:rPr>
          <w:rFonts w:hint="eastAsia"/>
        </w:rPr>
        <w:t>（一）心电信号基础知识</w:t>
      </w:r>
      <w:bookmarkEnd w:id="28"/>
      <w:bookmarkEnd w:id="29"/>
    </w:p>
    <w:p w14:paraId="6551E62E">
      <w:pPr>
        <w:ind w:firstLine="480"/>
      </w:pPr>
      <w:r>
        <w:rPr>
          <w:rFonts w:hint="eastAsia"/>
        </w:rPr>
        <w:t>心脏作为人体循环系统的核心器官，通过规律的电信号驱动心肌收缩与舒张，完成全身泵血功能。心肌细胞在除极与复极过程中产生的电位变化经体液传导至体表，被心电图机采集记录后，即形成连续波动的心电信号（ECG）。心电信号属于低频、非平稳、弱幅值的生理时序信号，能量主要集中在0.5Hz~35Hz范围内，易受肌电噪声、基线漂移等因素影响。</w:t>
      </w:r>
      <w:r>
        <w:rPr>
          <w:rFonts w:hint="eastAsia"/>
          <w:lang w:val="en-US" w:eastAsia="zh-CN"/>
        </w:rPr>
        <w:t>如图2，</w:t>
      </w:r>
      <w:r>
        <w:rPr>
          <w:rFonts w:hint="eastAsia"/>
        </w:rPr>
        <w:t>标准心动周期的心电波形由P波、PR段、QRS波群、ST段、T波、U波依次组成，各波形对应不同的心脏电活动阶段，其形态、时限与幅值变化可直接反映心肌电生理异常，是识别心源性猝死高危特征的关键依据。</w:t>
      </w:r>
    </w:p>
    <w:p w14:paraId="11F84EBA">
      <w:pPr>
        <w:widowControl/>
        <w:spacing w:line="240" w:lineRule="auto"/>
        <w:ind w:firstLine="0" w:firstLineChars="0"/>
        <w:jc w:val="center"/>
        <w:rPr>
          <w:rFonts w:cs="宋体"/>
          <w:color w:val="000000"/>
          <w:kern w:val="0"/>
          <w:sz w:val="16"/>
          <w:szCs w:val="16"/>
          <w:lang w:bidi="ar"/>
        </w:rPr>
      </w:pPr>
      <w:r>
        <w:rPr>
          <w:rFonts w:hint="eastAsia"/>
        </w:rPr>
        <w:drawing>
          <wp:inline distT="0" distB="0" distL="114300" distR="114300">
            <wp:extent cx="4591050" cy="2585720"/>
            <wp:effectExtent l="0" t="0" r="6350" b="5080"/>
            <wp:docPr id="16" name="图片 16" descr="a80c52fa28e53dd2f75c73043c35a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80c52fa28e53dd2f75c73043c35a612"/>
                    <pic:cNvPicPr>
                      <a:picLocks noChangeAspect="1"/>
                    </pic:cNvPicPr>
                  </pic:nvPicPr>
                  <pic:blipFill>
                    <a:blip r:embed="rId19"/>
                    <a:stretch>
                      <a:fillRect/>
                    </a:stretch>
                  </pic:blipFill>
                  <pic:spPr>
                    <a:xfrm>
                      <a:off x="0" y="0"/>
                      <a:ext cx="4591050" cy="2585720"/>
                    </a:xfrm>
                    <a:prstGeom prst="rect">
                      <a:avLst/>
                    </a:prstGeom>
                  </pic:spPr>
                </pic:pic>
              </a:graphicData>
            </a:graphic>
          </wp:inline>
        </w:drawing>
      </w:r>
    </w:p>
    <w:p w14:paraId="7DF0EB24">
      <w:pPr>
        <w:pStyle w:val="5"/>
        <w:ind w:firstLine="480"/>
        <w:rPr>
          <w:rFonts w:cstheme="minorBidi"/>
          <w:szCs w:val="22"/>
          <w14:ligatures w14:val="none"/>
        </w:rPr>
      </w:pPr>
      <w:bookmarkStart w:id="30" w:name="_Toc19478"/>
      <w:r>
        <w:t>图</w:t>
      </w:r>
      <w:r>
        <w:fldChar w:fldCharType="begin"/>
      </w:r>
      <w:r>
        <w:instrText xml:space="preserve"> SEQ 图 \* ARABIC </w:instrText>
      </w:r>
      <w:r>
        <w:fldChar w:fldCharType="separate"/>
      </w:r>
      <w:r>
        <w:t>2</w:t>
      </w:r>
      <w:r>
        <w:fldChar w:fldCharType="end"/>
      </w:r>
      <w:bookmarkStart w:id="31" w:name="_Toc11517"/>
      <w:r>
        <w:rPr>
          <w:rFonts w:hint="eastAsia" w:cstheme="minorBidi"/>
          <w:szCs w:val="22"/>
          <w14:ligatures w14:val="none"/>
        </w:rPr>
        <w:t xml:space="preserve"> 准心电波形结构示意图</w:t>
      </w:r>
      <w:bookmarkEnd w:id="30"/>
      <w:bookmarkEnd w:id="31"/>
    </w:p>
    <w:p w14:paraId="1E79BF6A">
      <w:pPr>
        <w:pStyle w:val="3"/>
        <w:ind w:firstLine="560"/>
      </w:pPr>
      <w:bookmarkStart w:id="32" w:name="_Toc28074"/>
      <w:bookmarkStart w:id="33" w:name="_Toc23756"/>
      <w:r>
        <w:rPr>
          <w:rFonts w:hint="eastAsia"/>
        </w:rPr>
        <w:t>（二）心源性猝死发生机制及相关因素</w:t>
      </w:r>
      <w:bookmarkEnd w:id="32"/>
      <w:bookmarkEnd w:id="33"/>
    </w:p>
    <w:p w14:paraId="3FB0F862">
      <w:pPr>
        <w:pStyle w:val="4"/>
        <w:ind w:firstLine="482"/>
        <w:rPr>
          <w:rFonts w:ascii="Times New Roman" w:hAnsi="Times New Roman"/>
        </w:rPr>
      </w:pPr>
      <w:r>
        <w:rPr>
          <w:rFonts w:hint="eastAsia" w:ascii="Times New Roman" w:hAnsi="Times New Roman"/>
        </w:rPr>
        <w:t>1.心源性猝死发生机制</w:t>
      </w:r>
    </w:p>
    <w:p w14:paraId="0335AE42">
      <w:pPr>
        <w:ind w:firstLine="480"/>
      </w:pPr>
      <w:r>
        <w:rPr>
          <w:rFonts w:hint="eastAsia"/>
        </w:rPr>
        <w:t>心源性猝死是指由心脏原因引发的急性症状发作后1小时内发生的自然死亡，具有发生突然、预警窗口短和死亡率高等特点。临床研究表明SCD的主要致病诱因可分为三类：器质性心脏病、非器质性心脏病、紧急触发因素。其中，器质性心脏病以冠心病、心肌梗死、心力衰竭、肥厚型心肌病为主；非器质性心脏病以遗传性心律失常、长QT综合征、预激综合征为主；紧急触发因素则包括自主神经紊乱、代谢异常、熬夜酗酒、高强度应激等。绝大多数SCD事件由恶性心律失常诱发，主要包括室性心动过速、心室颤动、重度心动过缓三类。心脏骤停后若未能在4~6分钟内实施有效复苏，将迅速引发不可逆脑损伤并进展为生物学死亡，因此实现其高危患者风险预测具有重要临床价值。</w:t>
      </w:r>
      <w:r>
        <w:rPr>
          <w:rFonts w:hint="eastAsia"/>
          <w:vertAlign w:val="superscript"/>
        </w:rPr>
        <w:fldChar w:fldCharType="begin"/>
      </w:r>
      <w:r>
        <w:instrText xml:space="preserve"> REF _Ref18418 \r \h  \* MERGEFORMAT</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vertAlign w:val="superscript"/>
        </w:rPr>
        <w:fldChar w:fldCharType="begin"/>
      </w:r>
      <w:r>
        <w:instrText xml:space="preserve"> REF _Ref18425 \r \h  \* MERGEFORMAT</w:instrText>
      </w:r>
      <w:r>
        <w:rPr>
          <w:rFonts w:hint="eastAsia"/>
          <w:vertAlign w:val="superscript"/>
        </w:rPr>
        <w:fldChar w:fldCharType="separate"/>
      </w:r>
      <w:r>
        <w:rPr>
          <w:rFonts w:hint="eastAsia"/>
          <w:vertAlign w:val="superscript"/>
        </w:rPr>
        <w:t>[25]</w:t>
      </w:r>
      <w:r>
        <w:rPr>
          <w:rFonts w:hint="eastAsia"/>
          <w:vertAlign w:val="superscript"/>
        </w:rPr>
        <w:fldChar w:fldCharType="end"/>
      </w:r>
    </w:p>
    <w:p w14:paraId="3D6AC79C">
      <w:pPr>
        <w:pStyle w:val="4"/>
        <w:ind w:firstLine="482"/>
        <w:rPr>
          <w:rFonts w:ascii="Times New Roman" w:hAnsi="Times New Roman"/>
        </w:rPr>
      </w:pPr>
      <w:r>
        <w:rPr>
          <w:rFonts w:hint="eastAsia" w:ascii="Times New Roman" w:hAnsi="Times New Roman"/>
        </w:rPr>
        <w:t>2.心源性猝死相关心电信号特征</w:t>
      </w:r>
    </w:p>
    <w:p w14:paraId="447876E7">
      <w:pPr>
        <w:ind w:firstLine="480"/>
      </w:pPr>
      <w:r>
        <w:rPr>
          <w:rFonts w:hint="eastAsia"/>
        </w:rPr>
        <w:t>心电信号是检测心肌电活动异常最便捷、最经济的无创手段，SCD高危患者在风险升高阶段，心电波形会出现特异性异常改变，本文重点关注的SCD相关心电指标如表1所示。</w:t>
      </w:r>
    </w:p>
    <w:p w14:paraId="5C76547B">
      <w:pPr>
        <w:pStyle w:val="5"/>
        <w:ind w:firstLine="0" w:firstLineChars="0"/>
        <w:rPr>
          <w:rFonts w:cstheme="minorBidi"/>
          <w:szCs w:val="22"/>
          <w14:ligatures w14:val="none"/>
        </w:rPr>
      </w:pPr>
      <w:bookmarkStart w:id="34" w:name="_Toc26478"/>
      <w:r>
        <w:t>表</w:t>
      </w:r>
      <w:r>
        <w:fldChar w:fldCharType="begin"/>
      </w:r>
      <w:r>
        <w:instrText xml:space="preserve"> SEQ 表 \* ARABIC </w:instrText>
      </w:r>
      <w:r>
        <w:fldChar w:fldCharType="separate"/>
      </w:r>
      <w:r>
        <w:t>1</w:t>
      </w:r>
      <w:r>
        <w:fldChar w:fldCharType="end"/>
      </w:r>
      <w:bookmarkStart w:id="35" w:name="_Toc31371"/>
      <w:r>
        <w:rPr>
          <w:rFonts w:hint="eastAsia" w:cstheme="minorBidi"/>
          <w:szCs w:val="22"/>
          <w14:ligatures w14:val="none"/>
        </w:rPr>
        <w:t xml:space="preserve"> 心源性猝死相关核心心电指标及临床意义</w:t>
      </w:r>
      <w:bookmarkEnd w:id="34"/>
      <w:bookmarkEnd w:id="35"/>
    </w:p>
    <w:tbl>
      <w:tblPr>
        <w:tblStyle w:val="17"/>
        <w:tblW w:w="836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3"/>
        <w:gridCol w:w="1470"/>
        <w:gridCol w:w="5603"/>
      </w:tblGrid>
      <w:tr w14:paraId="1203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tcBorders>
              <w:top w:val="single" w:color="000000" w:sz="12" w:space="0"/>
              <w:bottom w:val="single" w:color="000000" w:sz="4" w:space="0"/>
              <w:tl2br w:val="nil"/>
            </w:tcBorders>
            <w:shd w:val="clear" w:color="auto" w:fill="FFFFFF"/>
            <w:vAlign w:val="center"/>
          </w:tcPr>
          <w:p w14:paraId="4293E75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心电指标</w:t>
            </w:r>
          </w:p>
        </w:tc>
        <w:tc>
          <w:tcPr>
            <w:tcW w:w="1470" w:type="dxa"/>
            <w:tcBorders>
              <w:top w:val="single" w:color="000000" w:sz="12" w:space="0"/>
              <w:bottom w:val="single" w:color="000000" w:sz="4" w:space="0"/>
            </w:tcBorders>
            <w:shd w:val="clear" w:color="auto" w:fill="FFFFFF"/>
            <w:vAlign w:val="center"/>
          </w:tcPr>
          <w:p w14:paraId="3F1F140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正常范围</w:t>
            </w:r>
          </w:p>
        </w:tc>
        <w:tc>
          <w:tcPr>
            <w:tcW w:w="5603" w:type="dxa"/>
            <w:tcBorders>
              <w:top w:val="single" w:color="000000" w:sz="12" w:space="0"/>
              <w:bottom w:val="single" w:color="000000" w:sz="4" w:space="0"/>
            </w:tcBorders>
            <w:shd w:val="clear" w:color="auto" w:fill="FFFFFF"/>
            <w:vAlign w:val="center"/>
          </w:tcPr>
          <w:p w14:paraId="265124F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异常表现与SCD关联机制</w:t>
            </w:r>
          </w:p>
        </w:tc>
      </w:tr>
      <w:tr w14:paraId="1D192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tcBorders>
              <w:top w:val="single" w:color="000000" w:sz="4" w:space="0"/>
            </w:tcBorders>
            <w:shd w:val="clear" w:color="auto" w:fill="FFFFFF"/>
            <w:vAlign w:val="center"/>
          </w:tcPr>
          <w:p w14:paraId="1AF5603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QTc间期</w:t>
            </w:r>
          </w:p>
        </w:tc>
        <w:tc>
          <w:tcPr>
            <w:tcW w:w="1470" w:type="dxa"/>
            <w:tcBorders>
              <w:top w:val="single" w:color="000000" w:sz="4" w:space="0"/>
            </w:tcBorders>
            <w:shd w:val="clear" w:color="auto" w:fill="FFFFFF"/>
            <w:vAlign w:val="center"/>
          </w:tcPr>
          <w:p w14:paraId="527845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350~450ms</w:t>
            </w:r>
          </w:p>
        </w:tc>
        <w:tc>
          <w:tcPr>
            <w:tcW w:w="5603" w:type="dxa"/>
            <w:tcBorders>
              <w:top w:val="single" w:color="000000" w:sz="4" w:space="0"/>
            </w:tcBorders>
            <w:shd w:val="clear" w:color="auto" w:fill="FFFFFF"/>
            <w:vAlign w:val="center"/>
          </w:tcPr>
          <w:p w14:paraId="6B1198A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延长提示心室复极离散度升高，显著增加室颤/猝死风险</w:t>
            </w:r>
          </w:p>
        </w:tc>
      </w:tr>
      <w:tr w14:paraId="57DAC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shd w:val="clear" w:color="auto" w:fill="FFFFFF"/>
            <w:vAlign w:val="center"/>
          </w:tcPr>
          <w:p w14:paraId="680ED07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QRS时限</w:t>
            </w:r>
          </w:p>
        </w:tc>
        <w:tc>
          <w:tcPr>
            <w:tcW w:w="1470" w:type="dxa"/>
            <w:shd w:val="clear" w:color="auto" w:fill="FFFFFF"/>
            <w:vAlign w:val="center"/>
          </w:tcPr>
          <w:p w14:paraId="1B60740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＜120ms</w:t>
            </w:r>
          </w:p>
        </w:tc>
        <w:tc>
          <w:tcPr>
            <w:tcW w:w="5603" w:type="dxa"/>
            <w:shd w:val="clear" w:color="auto" w:fill="FFFFFF"/>
            <w:vAlign w:val="center"/>
          </w:tcPr>
          <w:p w14:paraId="5E50ABC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增宽提示室内传导阻滞，与恶性心律失常发生率正相关</w:t>
            </w:r>
          </w:p>
        </w:tc>
      </w:tr>
      <w:tr w14:paraId="122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shd w:val="clear" w:color="auto" w:fill="FFFFFF"/>
            <w:vAlign w:val="center"/>
          </w:tcPr>
          <w:p w14:paraId="7FEC064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RR间期变异</w:t>
            </w:r>
          </w:p>
        </w:tc>
        <w:tc>
          <w:tcPr>
            <w:tcW w:w="1470" w:type="dxa"/>
            <w:shd w:val="clear" w:color="auto" w:fill="FFFFFF"/>
            <w:vAlign w:val="center"/>
          </w:tcPr>
          <w:p w14:paraId="1CBAD44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稳定波动</w:t>
            </w:r>
          </w:p>
        </w:tc>
        <w:tc>
          <w:tcPr>
            <w:tcW w:w="5603" w:type="dxa"/>
            <w:shd w:val="clear" w:color="auto" w:fill="FFFFFF"/>
            <w:vAlign w:val="center"/>
          </w:tcPr>
          <w:p w14:paraId="466E57A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变异度降低提示自主神经调节失衡，为SCD独立危险因素</w:t>
            </w:r>
          </w:p>
        </w:tc>
      </w:tr>
      <w:tr w14:paraId="17469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shd w:val="clear" w:color="auto" w:fill="FFFFFF"/>
            <w:vAlign w:val="center"/>
          </w:tcPr>
          <w:p w14:paraId="60234C4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ST段偏移</w:t>
            </w:r>
          </w:p>
        </w:tc>
        <w:tc>
          <w:tcPr>
            <w:tcW w:w="1470" w:type="dxa"/>
            <w:shd w:val="clear" w:color="auto" w:fill="FFFFFF"/>
            <w:vAlign w:val="center"/>
          </w:tcPr>
          <w:p w14:paraId="4532E23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等电位线水平</w:t>
            </w:r>
          </w:p>
        </w:tc>
        <w:tc>
          <w:tcPr>
            <w:tcW w:w="5603" w:type="dxa"/>
            <w:shd w:val="clear" w:color="auto" w:fill="FFFFFF"/>
            <w:vAlign w:val="center"/>
          </w:tcPr>
          <w:p w14:paraId="4C1D335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抬高/压低提示急性心肌缺血/损伤，是猝死预警关键标志</w:t>
            </w:r>
          </w:p>
        </w:tc>
      </w:tr>
      <w:tr w14:paraId="1BB28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93" w:type="dxa"/>
            <w:tcBorders>
              <w:bottom w:val="single" w:color="000000" w:sz="12" w:space="0"/>
            </w:tcBorders>
            <w:shd w:val="clear" w:color="auto" w:fill="FFFFFF"/>
            <w:vAlign w:val="center"/>
          </w:tcPr>
          <w:p w14:paraId="09B6FA9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T波形态</w:t>
            </w:r>
          </w:p>
        </w:tc>
        <w:tc>
          <w:tcPr>
            <w:tcW w:w="1470" w:type="dxa"/>
            <w:tcBorders>
              <w:bottom w:val="single" w:color="000000" w:sz="12" w:space="0"/>
            </w:tcBorders>
            <w:shd w:val="clear" w:color="auto" w:fill="FFFFFF"/>
            <w:vAlign w:val="center"/>
          </w:tcPr>
          <w:p w14:paraId="4BB788C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直立平滑</w:t>
            </w:r>
          </w:p>
        </w:tc>
        <w:tc>
          <w:tcPr>
            <w:tcW w:w="5603" w:type="dxa"/>
            <w:tcBorders>
              <w:bottom w:val="single" w:color="000000" w:sz="12" w:space="0"/>
            </w:tcBorders>
            <w:shd w:val="clear" w:color="auto" w:fill="FFFFFF"/>
            <w:vAlign w:val="center"/>
          </w:tcPr>
          <w:p w14:paraId="5B064C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倒置、高尖、双峰提示心肌复极异常，与猝死风险高度相关</w:t>
            </w:r>
          </w:p>
        </w:tc>
      </w:tr>
    </w:tbl>
    <w:p w14:paraId="2AE088D8">
      <w:pPr>
        <w:pStyle w:val="4"/>
        <w:ind w:firstLine="482"/>
        <w:rPr>
          <w:rFonts w:ascii="Times New Roman" w:hAnsi="Times New Roman"/>
        </w:rPr>
      </w:pPr>
      <w:r>
        <w:rPr>
          <w:rFonts w:hint="eastAsia" w:ascii="Times New Roman" w:hAnsi="Times New Roman"/>
        </w:rPr>
        <w:t>3.心率变异性及其生理意义</w:t>
      </w:r>
    </w:p>
    <w:p w14:paraId="02EE9419">
      <w:pPr>
        <w:ind w:firstLine="480"/>
      </w:pPr>
      <w:r>
        <w:rPr>
          <w:rFonts w:hint="eastAsia"/>
        </w:rPr>
        <w:t>心率变异性（HRV）指连续心跳之间RR间期的微小差异，是定量评估心脏自主神经调节功能的核心指标。心脏节律由交感神经与副交感神经协同调控：交感神经兴奋会提升心率、降低HRV；副交感神经兴奋会减慢心率、提升HRV。HRV降低是自主神经功能紊乱的典型标志，与心肌缺血、恶性心律失常、心源性猝死的发生密切相关，已被大量临床研究证实为SCD风险预测的重要无创指标。HRV分析主要包含时域分析、频域分析、非线性分析三类方法，可从多维度挖掘心电信号中隐含的猝死风险信息，为本研究特征提取提供重要理论依据</w:t>
      </w:r>
      <w:r>
        <w:rPr>
          <w:rFonts w:hint="eastAsia"/>
          <w:vertAlign w:val="superscript"/>
        </w:rPr>
        <w:fldChar w:fldCharType="begin"/>
      </w:r>
      <w:r>
        <w:instrText xml:space="preserve"> REF _Ref18572 \r \h  \* MERGEFORMAT</w:instrText>
      </w:r>
      <w:r>
        <w:rPr>
          <w:rFonts w:hint="eastAsia"/>
          <w:vertAlign w:val="superscript"/>
        </w:rPr>
        <w:fldChar w:fldCharType="separate"/>
      </w:r>
      <w:r>
        <w:rPr>
          <w:rFonts w:hint="eastAsia"/>
          <w:vertAlign w:val="superscript"/>
        </w:rPr>
        <w:t>[17]</w:t>
      </w:r>
      <w:r>
        <w:rPr>
          <w:rFonts w:hint="eastAsia"/>
          <w:vertAlign w:val="superscript"/>
        </w:rPr>
        <w:fldChar w:fldCharType="end"/>
      </w:r>
      <w:r>
        <w:rPr>
          <w:rFonts w:hint="eastAsia"/>
        </w:rPr>
        <w:t>。</w:t>
      </w:r>
    </w:p>
    <w:p w14:paraId="15B43D74">
      <w:pPr>
        <w:pStyle w:val="3"/>
        <w:ind w:firstLine="560"/>
      </w:pPr>
      <w:bookmarkStart w:id="36" w:name="_Toc12543"/>
      <w:bookmarkStart w:id="37" w:name="_Toc30266"/>
      <w:r>
        <w:rPr>
          <w:rFonts w:hint="eastAsia"/>
        </w:rPr>
        <w:t>（三）主要模型理论</w:t>
      </w:r>
      <w:bookmarkEnd w:id="36"/>
      <w:bookmarkEnd w:id="37"/>
    </w:p>
    <w:p w14:paraId="3EA651BA">
      <w:pPr>
        <w:pStyle w:val="4"/>
        <w:ind w:firstLine="482"/>
        <w:rPr>
          <w:rFonts w:ascii="Times New Roman" w:hAnsi="Times New Roman"/>
        </w:rPr>
      </w:pPr>
      <w:r>
        <w:rPr>
          <w:rFonts w:hint="eastAsia" w:ascii="Times New Roman" w:hAnsi="Times New Roman"/>
        </w:rPr>
        <w:t>1.时间卷积网络（TCN）</w:t>
      </w:r>
    </w:p>
    <w:p w14:paraId="0D9A1B19">
      <w:pPr>
        <w:ind w:firstLine="480"/>
      </w:pPr>
      <w:r>
        <w:rPr>
          <w:rFonts w:hint="eastAsia"/>
        </w:rPr>
        <w:t>心电信号属于典型时序数据，传统循环神经网络存在并行计算差、梯度易消失的缺陷，而时间卷积网络（Temporal Convolutional Network,TCN）专为时序数据建模设计，通过因果卷积与空洞卷积实现长程时序依赖捕捉，更适配心电信号特征学习。</w:t>
      </w:r>
    </w:p>
    <w:p w14:paraId="6C0E4F58">
      <w:pPr>
        <w:ind w:firstLine="480"/>
      </w:pPr>
      <w:r>
        <w:rPr>
          <w:rFonts w:hint="eastAsia"/>
        </w:rPr>
        <w:t>因果卷积严格遵循时序逻辑，仅使用当前时刻及历史信号进行计算，杜绝未来信息泄露，符合心电信号的时序建模要求，其计算式为：</w:t>
      </w:r>
    </w:p>
    <w:p w14:paraId="7C06C4D2">
      <w:pPr>
        <w:tabs>
          <w:tab w:val="left" w:pos="2940"/>
          <w:tab w:val="left" w:pos="7560"/>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m:t>t</m:t>
            </m:r>
            <m:ctrlPr>
              <w:rPr>
                <w:rFonts w:hint="eastAsia" w:ascii="Cambria Math" w:hAnsi="Cambria Math"/>
              </w:rPr>
            </m:ctrlPr>
          </m:sub>
        </m:sSub>
        <m:r>
          <m:rPr>
            <m:sty m:val="p"/>
          </m:rPr>
          <w:rPr>
            <w:rFonts w:hint="eastAsia"/>
          </w:rPr>
          <m:t>=</m:t>
        </m:r>
        <m:nary>
          <m:naryPr>
            <m:chr m:val="∑"/>
            <m:limLoc m:val="subSup"/>
            <m:ctrlPr>
              <w:rPr>
                <w:rFonts w:hint="eastAsia" w:ascii="Cambria Math" w:hAnsi="Cambria Math"/>
              </w:rPr>
            </m:ctrlPr>
          </m:naryPr>
          <m:sub>
            <m:r>
              <m:rPr>
                <m:sty m:val="p"/>
              </m:rPr>
              <m:t>k=1</m:t>
            </m:r>
            <m:ctrlPr>
              <w:rPr>
                <w:rFonts w:hint="eastAsia" w:ascii="Cambria Math" w:hAnsi="Cambria Math"/>
              </w:rPr>
            </m:ctrlPr>
          </m:sub>
          <m:sup>
            <m:r>
              <m:rPr>
                <m:sty m:val="p"/>
              </m:rPr>
              <m:t>K</m:t>
            </m:r>
            <m:ctrlPr>
              <w:rPr>
                <w:rFonts w:hint="eastAsia" w:ascii="Cambria Math" w:hAnsi="Cambria Math"/>
              </w:rPr>
            </m:ctrlPr>
          </m:sup>
          <m:e>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k</m:t>
                </m:r>
                <m:ctrlPr>
                  <w:rPr>
                    <w:rFonts w:hint="eastAsia" w:ascii="Cambria Math" w:hAnsi="Cambria Math"/>
                  </w:rPr>
                </m:ctrlPr>
              </m:sub>
            </m:sSub>
            <m:ctrlPr>
              <w:rPr>
                <w:rFonts w:hint="eastAsia" w:ascii="Cambria Math" w:hAnsi="Cambria Math"/>
              </w:rPr>
            </m:ctrlPr>
          </m:e>
        </m:nary>
        <m:r>
          <m:rPr>
            <m:sty m:val="p"/>
          </m:rPr>
          <m:t>∙</m:t>
        </m:r>
        <m:sSub>
          <m:sSubPr>
            <m:ctrlPr>
              <w:rPr>
                <w:rFonts w:ascii="Cambria Math" w:hAnsi="Cambria Math"/>
              </w:rPr>
            </m:ctrlPr>
          </m:sSubPr>
          <m:e>
            <m:r>
              <m:rPr>
                <m:sty m:val="p"/>
              </m:rPr>
              <m:t>x</m:t>
            </m:r>
            <m:ctrlPr>
              <w:rPr>
                <w:rFonts w:ascii="Cambria Math" w:hAnsi="Cambria Math"/>
              </w:rPr>
            </m:ctrlPr>
          </m:e>
          <m:sub>
            <m:r>
              <m:rPr>
                <m:sty m:val="p"/>
              </m:rPr>
              <m:t>t−k+1</m:t>
            </m:r>
            <m:ctrlPr>
              <w:rPr>
                <w:rFonts w:ascii="Cambria Math" w:hAnsi="Cambria Math"/>
              </w:rPr>
            </m:ctrlPr>
          </m:sub>
        </m:sSub>
      </m:oMath>
      <w:r>
        <w:rPr>
          <w:rFonts w:hint="eastAsia"/>
        </w:rPr>
        <w:tab/>
      </w:r>
      <w:r>
        <w:rPr>
          <w:rFonts w:hint="eastAsia"/>
        </w:rPr>
        <w:t>（1）</w:t>
      </w:r>
    </w:p>
    <w:p w14:paraId="2AB9B52F">
      <w:pPr>
        <w:ind w:firstLine="480"/>
      </w:pPr>
      <w:r>
        <w:rPr>
          <w:rFonts w:hint="eastAsia"/>
        </w:rPr>
        <w:t>式中，</w:t>
      </w:r>
      <m:oMath>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m:t>t</m:t>
            </m:r>
            <m:ctrlPr>
              <w:rPr>
                <w:rFonts w:hint="eastAsia" w:ascii="Cambria Math" w:hAnsi="Cambria Math"/>
              </w:rPr>
            </m:ctrlPr>
          </m:sub>
        </m:sSub>
      </m:oMath>
      <w:r>
        <w:rPr>
          <w:rFonts w:hint="eastAsia"/>
        </w:rPr>
        <w:t>为t时刻输出，</w:t>
      </w:r>
      <m:oMath>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k</m:t>
            </m:r>
            <m:ctrlPr>
              <w:rPr>
                <w:rFonts w:hint="eastAsia" w:ascii="Cambria Math" w:hAnsi="Cambria Math"/>
              </w:rPr>
            </m:ctrlPr>
          </m:sub>
        </m:sSub>
      </m:oMath>
      <w:r>
        <w:rPr>
          <w:rFonts w:hint="eastAsia"/>
        </w:rPr>
        <w:t>为卷积核权重，</w:t>
      </w:r>
      <m:oMath>
        <m:sSub>
          <m:sSubPr>
            <m:ctrlPr>
              <w:rPr>
                <w:rFonts w:ascii="Cambria Math" w:hAnsi="Cambria Math"/>
              </w:rPr>
            </m:ctrlPr>
          </m:sSubPr>
          <m:e>
            <m:r>
              <m:rPr>
                <m:sty m:val="p"/>
              </m:rPr>
              <m:t>x</m:t>
            </m:r>
            <m:ctrlPr>
              <w:rPr>
                <w:rFonts w:ascii="Cambria Math" w:hAnsi="Cambria Math"/>
              </w:rPr>
            </m:ctrlPr>
          </m:e>
          <m:sub>
            <m:r>
              <m:rPr>
                <m:sty m:val="p"/>
              </m:rPr>
              <m:t>t−k+1</m:t>
            </m:r>
            <m:ctrlPr>
              <w:rPr>
                <w:rFonts w:ascii="Cambria Math" w:hAnsi="Cambria Math"/>
              </w:rPr>
            </m:ctrlPr>
          </m:sub>
        </m:sSub>
      </m:oMath>
      <w:r>
        <w:rPr>
          <w:rFonts w:hint="eastAsia"/>
        </w:rPr>
        <w:t>为历史时序输入，K为卷积核大小。</w:t>
      </w:r>
    </w:p>
    <w:p w14:paraId="3168A085">
      <w:pPr>
        <w:ind w:firstLine="480"/>
      </w:pPr>
      <w:r>
        <w:rPr>
          <w:rFonts w:hint="eastAsia"/>
        </w:rPr>
        <w:t>空洞卷积通过引入膨胀率扩大感受野，无需增加卷积核参数即可捕捉长序列心电特征，计算式为：</w:t>
      </w:r>
    </w:p>
    <w:p w14:paraId="15E2DCFE">
      <w:pPr>
        <w:tabs>
          <w:tab w:val="left" w:pos="2940"/>
          <w:tab w:val="left" w:pos="7560"/>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w:rPr>
                <w:rFonts w:hint="eastAsia"/>
              </w:rPr>
              <m:t>t</m:t>
            </m:r>
            <m:ctrlPr>
              <w:rPr>
                <w:rFonts w:hint="eastAsia" w:ascii="Cambria Math" w:hAnsi="Cambria Math"/>
              </w:rPr>
            </m:ctrlPr>
          </m:sub>
        </m:sSub>
        <m:r>
          <m:rPr>
            <m:sty m:val="p"/>
          </m:rPr>
          <w:rPr>
            <w:rFonts w:hint="eastAsia"/>
          </w:rPr>
          <m:t>=</m:t>
        </m:r>
        <m:nary>
          <m:naryPr>
            <m:chr m:val="∑"/>
            <m:limLoc m:val="subSup"/>
            <m:ctrlPr>
              <w:rPr>
                <w:rFonts w:hint="eastAsia" w:ascii="Cambria Math" w:hAnsi="Cambria Math"/>
              </w:rPr>
            </m:ctrlPr>
          </m:naryPr>
          <m:sub>
            <m:r>
              <m:rPr>
                <m:sty m:val="p"/>
              </m:rPr>
              <w:rPr>
                <w:rFonts w:hint="eastAsia"/>
              </w:rPr>
              <m:t>k=1</m:t>
            </m:r>
            <m:ctrlPr>
              <w:rPr>
                <w:rFonts w:hint="eastAsia" w:ascii="Cambria Math" w:hAnsi="Cambria Math"/>
              </w:rPr>
            </m:ctrlPr>
          </m:sub>
          <m:sup>
            <m:r>
              <m:rPr>
                <m:sty m:val="p"/>
              </m:rPr>
              <w:rPr>
                <w:rFonts w:hint="eastAsia"/>
              </w:rPr>
              <m:t>K</m:t>
            </m:r>
            <m:ctrlPr>
              <w:rPr>
                <w:rFonts w:hint="eastAsia" w:ascii="Cambria Math" w:hAnsi="Cambria Math"/>
              </w:rPr>
            </m:ctrlPr>
          </m:sup>
          <m:e>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w:rPr>
                    <w:rFonts w:hint="eastAsia"/>
                  </w:rPr>
                  <m:t>k</m:t>
                </m:r>
                <m:ctrlPr>
                  <w:rPr>
                    <w:rFonts w:hint="eastAsia" w:ascii="Cambria Math" w:hAnsi="Cambria Math"/>
                  </w:rPr>
                </m:ctrlPr>
              </m:sub>
            </m:sSub>
            <m:ctrlPr>
              <w:rPr>
                <w:rFonts w:hint="eastAsia" w:ascii="Cambria Math" w:hAnsi="Cambria Math"/>
              </w:rPr>
            </m:ctrlPr>
          </m:e>
        </m:nary>
        <m:r>
          <m:rPr>
            <m:sty m:val="p"/>
          </m:rPr>
          <w:rPr>
            <w:rFonts w:hint="eastAsia"/>
          </w:rPr>
          <m:t>∙</m:t>
        </m:r>
        <m:sSub>
          <m:sSubPr>
            <m:ctrlPr>
              <w:rPr>
                <w:rFonts w:hint="eastAsia" w:ascii="Cambria Math" w:hAnsi="Cambria Math"/>
              </w:rPr>
            </m:ctrlPr>
          </m:sSubPr>
          <m:e>
            <m:r>
              <m:rPr>
                <m:sty m:val="p"/>
              </m:rPr>
              <w:rPr>
                <w:rFonts w:hint="eastAsia"/>
              </w:rPr>
              <m:t>x</m:t>
            </m:r>
            <m:ctrlPr>
              <w:rPr>
                <w:rFonts w:hint="eastAsia" w:ascii="Cambria Math" w:hAnsi="Cambria Math"/>
              </w:rPr>
            </m:ctrlPr>
          </m:e>
          <m:sub>
            <m:r>
              <m:rPr>
                <m:sty m:val="p"/>
              </m:rPr>
              <w:rPr>
                <w:rFonts w:hint="eastAsia"/>
              </w:rPr>
              <m:t>t−d(k−1)</m:t>
            </m:r>
            <m:ctrlPr>
              <w:rPr>
                <w:rFonts w:hint="eastAsia" w:ascii="Cambria Math" w:hAnsi="Cambria Math"/>
              </w:rPr>
            </m:ctrlPr>
          </m:sub>
        </m:sSub>
      </m:oMath>
      <w:r>
        <w:rPr>
          <w:rFonts w:hint="eastAsia"/>
        </w:rPr>
        <w:tab/>
      </w:r>
      <w:r>
        <w:rPr>
          <w:rFonts w:hint="eastAsia"/>
        </w:rPr>
        <w:t>（2）</w:t>
      </w:r>
    </w:p>
    <w:p w14:paraId="3B44CB79">
      <w:pPr>
        <w:ind w:firstLine="480"/>
      </w:pPr>
      <w:r>
        <w:rPr>
          <w:rFonts w:hint="eastAsia"/>
        </w:rPr>
        <w:t>式中，d为膨胀率，随网络层数加深呈指数增长，可高效覆盖心电信号的长程风险模式。</w:t>
      </w:r>
    </w:p>
    <w:p w14:paraId="593EBA92">
      <w:pPr>
        <w:widowControl/>
        <w:spacing w:line="240" w:lineRule="auto"/>
        <w:ind w:firstLine="320"/>
        <w:jc w:val="left"/>
        <w:rPr>
          <w:rFonts w:cs="宋体"/>
          <w:color w:val="000000"/>
          <w:kern w:val="0"/>
          <w:sz w:val="16"/>
          <w:szCs w:val="16"/>
          <w:lang w:bidi="ar"/>
        </w:rPr>
      </w:pPr>
      <w:r>
        <w:rPr>
          <w:rFonts w:cs="宋体"/>
          <w:color w:val="000000"/>
          <w:kern w:val="0"/>
          <w:sz w:val="16"/>
          <w:szCs w:val="16"/>
          <w:lang w:bidi="ar"/>
        </w:rPr>
        <w:drawing>
          <wp:inline distT="0" distB="0" distL="114300" distR="114300">
            <wp:extent cx="5122545" cy="1734185"/>
            <wp:effectExtent l="0" t="0" r="8255" b="5715"/>
            <wp:docPr id="17" name="图片 17" descr="427322aa3c933be4111b91ad10813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27322aa3c933be4111b91ad10813c37"/>
                    <pic:cNvPicPr>
                      <a:picLocks noChangeAspect="1"/>
                    </pic:cNvPicPr>
                  </pic:nvPicPr>
                  <pic:blipFill>
                    <a:blip r:embed="rId20"/>
                    <a:stretch>
                      <a:fillRect/>
                    </a:stretch>
                  </pic:blipFill>
                  <pic:spPr>
                    <a:xfrm>
                      <a:off x="0" y="0"/>
                      <a:ext cx="5122545" cy="1734185"/>
                    </a:xfrm>
                    <a:prstGeom prst="rect">
                      <a:avLst/>
                    </a:prstGeom>
                  </pic:spPr>
                </pic:pic>
              </a:graphicData>
            </a:graphic>
          </wp:inline>
        </w:drawing>
      </w:r>
    </w:p>
    <w:p w14:paraId="5688562B">
      <w:pPr>
        <w:widowControl/>
        <w:spacing w:line="240" w:lineRule="auto"/>
        <w:ind w:firstLine="320"/>
        <w:jc w:val="left"/>
        <w:rPr>
          <w:rFonts w:cs="宋体"/>
          <w:color w:val="000000"/>
          <w:kern w:val="0"/>
          <w:sz w:val="16"/>
          <w:szCs w:val="16"/>
          <w:lang w:bidi="ar"/>
        </w:rPr>
      </w:pPr>
      <w:r>
        <w:rPr>
          <w:rFonts w:cs="宋体"/>
          <w:color w:val="000000"/>
          <w:kern w:val="0"/>
          <w:sz w:val="16"/>
          <w:szCs w:val="16"/>
          <w:lang w:bidi="ar"/>
        </w:rPr>
        <w:drawing>
          <wp:inline distT="0" distB="0" distL="114300" distR="114300">
            <wp:extent cx="5265420" cy="1796415"/>
            <wp:effectExtent l="0" t="0" r="5080" b="6985"/>
            <wp:docPr id="18" name="图片 18" descr="09b3ba6fe579fcec4a60ecf251977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9b3ba6fe579fcec4a60ecf25197748d"/>
                    <pic:cNvPicPr>
                      <a:picLocks noChangeAspect="1"/>
                    </pic:cNvPicPr>
                  </pic:nvPicPr>
                  <pic:blipFill>
                    <a:blip r:embed="rId21"/>
                    <a:stretch>
                      <a:fillRect/>
                    </a:stretch>
                  </pic:blipFill>
                  <pic:spPr>
                    <a:xfrm>
                      <a:off x="0" y="0"/>
                      <a:ext cx="5265420" cy="1796415"/>
                    </a:xfrm>
                    <a:prstGeom prst="rect">
                      <a:avLst/>
                    </a:prstGeom>
                  </pic:spPr>
                </pic:pic>
              </a:graphicData>
            </a:graphic>
          </wp:inline>
        </w:drawing>
      </w:r>
    </w:p>
    <w:p w14:paraId="475E9560">
      <w:pPr>
        <w:pStyle w:val="5"/>
        <w:ind w:firstLine="480"/>
      </w:pPr>
      <w:bookmarkStart w:id="38" w:name="_Toc19689"/>
      <w:r>
        <w:t>图</w:t>
      </w:r>
      <w:r>
        <w:fldChar w:fldCharType="begin"/>
      </w:r>
      <w:r>
        <w:instrText xml:space="preserve"> SEQ 图 \* ARABIC </w:instrText>
      </w:r>
      <w:r>
        <w:fldChar w:fldCharType="separate"/>
      </w:r>
      <w:r>
        <w:t>3</w:t>
      </w:r>
      <w:r>
        <w:fldChar w:fldCharType="end"/>
      </w:r>
      <w:bookmarkStart w:id="39" w:name="_Toc11151"/>
      <w:r>
        <w:rPr>
          <w:rFonts w:hint="eastAsia"/>
        </w:rPr>
        <w:t xml:space="preserve"> TCN因果卷积与空洞卷积结构示意图</w:t>
      </w:r>
      <w:bookmarkEnd w:id="38"/>
      <w:bookmarkEnd w:id="39"/>
    </w:p>
    <w:p w14:paraId="129550FB">
      <w:pPr>
        <w:pStyle w:val="4"/>
        <w:ind w:firstLine="482"/>
        <w:rPr>
          <w:rFonts w:ascii="Times New Roman" w:hAnsi="Times New Roman"/>
        </w:rPr>
      </w:pPr>
      <w:r>
        <w:rPr>
          <w:rFonts w:hint="eastAsia" w:ascii="Times New Roman" w:hAnsi="Times New Roman"/>
        </w:rPr>
        <w:t>2.迁移学习</w:t>
      </w:r>
    </w:p>
    <w:p w14:paraId="05505D2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迁移学习是一种知识复用的机器学习范式，核心是将源域数据集训练得到的特征提取知识与模型参数，迁移应用至分布相近但数据条件受限的目标域任务中。其通过复用已有训练权重与特征模式，无需对目标域数据重新从零训练，可有效弥补目标域数据特征表征不足、标注受限等问题，提升模型特征提取效率与泛化能力。</w:t>
      </w:r>
    </w:p>
    <w:p w14:paraId="7711EB2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在时序学习任务中，迁移学习可依托预训练完成的深度网络，自动挖掘目标数据的深层时序规律，实现高质量、高鲁棒性的特征表征输出。</w:t>
      </w:r>
    </w:p>
    <w:p w14:paraId="0576C5B5">
      <w:pPr>
        <w:pStyle w:val="4"/>
        <w:ind w:firstLine="482"/>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3.LASSO特征筛选原理</w:t>
      </w:r>
    </w:p>
    <w:p w14:paraId="388B6D8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LASSO回归是基于</w:t>
      </w:r>
      <m:oMath>
        <m:sSub>
          <m:sSubPr>
            <m:ctrlPr>
              <w:rPr>
                <w:rFonts w:ascii="Cambria Math" w:hAnsi="Cambria Math"/>
              </w:rPr>
            </m:ctrlPr>
          </m:sSubPr>
          <m:e>
            <m:r>
              <m:rPr>
                <m:sty m:val="p"/>
              </m:rPr>
              <m:t>L</m:t>
            </m:r>
            <m:ctrlPr>
              <w:rPr>
                <w:rFonts w:hint="eastAsia" w:ascii="Cambria Math" w:hAnsi="Cambria Math"/>
              </w:rPr>
            </m:ctrlPr>
          </m:e>
          <m:sub>
            <m:r>
              <m:rPr>
                <m:sty m:val="p"/>
              </m:rPr>
              <m:t>1</m:t>
            </m:r>
            <m:ctrlPr>
              <w:rPr>
                <w:rFonts w:hint="eastAsia" w:ascii="Cambria Math" w:hAnsi="Cambria Math"/>
              </w:rPr>
            </m:ctrlPr>
          </m:sub>
        </m:sSub>
      </m:oMath>
      <w:r>
        <w:rPr>
          <w:rFonts w:hint="eastAsia"/>
          <w:color w:val="000000" w:themeColor="text1"/>
          <w14:textFill>
            <w14:solidFill>
              <w14:schemeClr w14:val="tx1"/>
            </w14:solidFill>
          </w14:textFill>
        </w:rPr>
        <w:t>正则化的线性特征筛选方法，通过在损失函数中引入绝对值惩罚项，对特征回归系数进行压缩约束，实现自动降维与特征筛选。其标准目标函数如下：</w:t>
      </w:r>
    </w:p>
    <w:p w14:paraId="57F56D11">
      <w:pPr>
        <w:tabs>
          <w:tab w:val="left" w:pos="1680"/>
          <w:tab w:val="left" w:pos="7560"/>
        </w:tabs>
        <w:spacing w:line="240" w:lineRule="auto"/>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ab/>
      </w:r>
      <m:oMath>
        <m:func>
          <m:funcPr>
            <m:ctrlPr>
              <w:rPr>
                <w:rFonts w:ascii="Cambria Math" w:hAnsi="Cambria Math"/>
                <w:color w:val="000000" w:themeColor="text1"/>
                <w14:textFill>
                  <w14:solidFill>
                    <w14:schemeClr w14:val="tx1"/>
                  </w14:solidFill>
                </w14:textFill>
              </w:rPr>
            </m:ctrlPr>
          </m:funcPr>
          <m:fName>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min</m:t>
                </m:r>
                <m:ctrlPr>
                  <w:rPr>
                    <w:rFonts w:ascii="Cambria Math" w:hAnsi="Cambria Math"/>
                    <w:color w:val="000000" w:themeColor="text1"/>
                    <w14:textFill>
                      <w14:solidFill>
                        <w14:schemeClr w14:val="tx1"/>
                      </w14:solidFill>
                    </w14:textFill>
                  </w:rPr>
                </m:ctrlPr>
              </m:e>
              <m:sub>
                <m:r>
                  <m:rPr>
                    <m:sty m:val="p"/>
                  </m:rPr>
                  <w:rPr>
                    <w:rFonts w:hint="eastAsia"/>
                    <w:color w:val="000000" w:themeColor="text1"/>
                    <w14:textFill>
                      <w14:solidFill>
                        <w14:schemeClr w14:val="tx1"/>
                      </w14:solidFill>
                    </w14:textFill>
                  </w:rPr>
                  <m:t>β</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fName>
          <m:e>
            <m:nary>
              <m:naryPr>
                <m:chr m:val="∑"/>
                <m:limLoc m:val="subSup"/>
                <m:ctrlPr>
                  <w:rPr>
                    <w:rFonts w:ascii="Cambria Math" w:hAnsi="Cambria Math"/>
                    <w:color w:val="000000" w:themeColor="text1"/>
                    <w14:textFill>
                      <w14:solidFill>
                        <w14:schemeClr w14:val="tx1"/>
                      </w14:solidFill>
                    </w14:textFill>
                  </w:rPr>
                </m:ctrlPr>
              </m:naryPr>
              <m:sub>
                <m:r>
                  <m:rPr>
                    <m:sty m:val="p"/>
                  </m:rPr>
                  <w:rPr>
                    <w:color w:val="000000" w:themeColor="text1"/>
                    <w14:textFill>
                      <w14:solidFill>
                        <w14:schemeClr w14:val="tx1"/>
                      </w14:solidFill>
                    </w14:textFill>
                  </w:rPr>
                  <m:t>i=1</m:t>
                </m:r>
                <m:ctrlPr>
                  <w:rPr>
                    <w:rFonts w:hint="eastAsia" w:ascii="Cambria Math" w:hAnsi="Cambria Math"/>
                    <w:color w:val="000000" w:themeColor="text1"/>
                    <w14:textFill>
                      <w14:solidFill>
                        <w14:schemeClr w14:val="tx1"/>
                      </w14:solidFill>
                    </w14:textFill>
                  </w:rPr>
                </m:ctrlPr>
              </m:sub>
              <m:sup>
                <m:r>
                  <m:rPr>
                    <m:sty m:val="p"/>
                  </m:rPr>
                  <w:rPr>
                    <w:color w:val="000000" w:themeColor="text1"/>
                    <w14:textFill>
                      <w14:solidFill>
                        <w14:schemeClr w14:val="tx1"/>
                      </w14:solidFill>
                    </w14:textFill>
                  </w:rPr>
                  <m:t>n</m:t>
                </m:r>
                <m:ctrlPr>
                  <w:rPr>
                    <w:rFonts w:hint="eastAsia" w:ascii="Cambria Math" w:hAnsi="Cambria Math"/>
                    <w:color w:val="000000" w:themeColor="text1"/>
                    <w14:textFill>
                      <w14:solidFill>
                        <w14:schemeClr w14:val="tx1"/>
                      </w14:solidFill>
                    </w14:textFill>
                  </w:rPr>
                </m:ctrlPr>
              </m:sup>
              <m:e>
                <m:sSup>
                  <m:sSupPr>
                    <m:ctrlPr>
                      <w:rPr>
                        <w:rFonts w:ascii="Cambria Math" w:hAnsi="Cambria Math"/>
                        <w:color w:val="000000" w:themeColor="text1"/>
                        <w14:textFill>
                          <w14:solidFill>
                            <w14:schemeClr w14:val="tx1"/>
                          </w14:solidFill>
                        </w14:textFill>
                      </w:rPr>
                    </m:ctrlPr>
                  </m:sSupPr>
                  <m:e>
                    <m:d>
                      <m:dPr>
                        <m:ctrlPr>
                          <w:rPr>
                            <w:rFonts w:ascii="Cambria Math" w:hAnsi="Cambria Math"/>
                            <w:color w:val="000000" w:themeColor="text1"/>
                            <w14:textFill>
                              <w14:solidFill>
                                <w14:schemeClr w14:val="tx1"/>
                              </w14:solidFill>
                            </w14:textFill>
                          </w:rPr>
                        </m:ctrlPr>
                      </m:dPr>
                      <m:e>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y</m:t>
                            </m:r>
                            <m:ctrlPr>
                              <w:rPr>
                                <w:rFonts w:hint="eastAsia"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i</m:t>
                            </m:r>
                            <m:ctrlPr>
                              <w:rPr>
                                <w:rFonts w:hint="eastAsia" w:ascii="Cambria Math" w:hAnsi="Cambria Math"/>
                                <w:color w:val="000000" w:themeColor="text1"/>
                                <w14:textFill>
                                  <w14:solidFill>
                                    <w14:schemeClr w14:val="tx1"/>
                                  </w14:solidFill>
                                </w14:textFill>
                              </w:rPr>
                            </m:ctrlPr>
                          </m:sub>
                        </m:sSub>
                        <m:r>
                          <m:rPr>
                            <m:sty m:val="p"/>
                          </m:rPr>
                          <w:rPr>
                            <w:color w:val="000000" w:themeColor="text1"/>
                            <w14:textFill>
                              <w14:solidFill>
                                <w14:schemeClr w14:val="tx1"/>
                              </w14:solidFill>
                            </w14:textFill>
                          </w:rPr>
                          <m:t>−</m:t>
                        </m:r>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β</m:t>
                            </m:r>
                            <m:ctrlPr>
                              <w:rPr>
                                <w:rFonts w:hint="eastAsia"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0</m:t>
                            </m:r>
                            <m:ctrlPr>
                              <w:rPr>
                                <w:rFonts w:hint="eastAsia" w:ascii="Cambria Math" w:hAnsi="Cambria Math"/>
                                <w:color w:val="000000" w:themeColor="text1"/>
                                <w14:textFill>
                                  <w14:solidFill>
                                    <w14:schemeClr w14:val="tx1"/>
                                  </w14:solidFill>
                                </w14:textFill>
                              </w:rPr>
                            </m:ctrlPr>
                          </m:sub>
                        </m:sSub>
                        <m:r>
                          <m:rPr>
                            <m:sty m:val="p"/>
                          </m:rPr>
                          <w:rPr>
                            <w:color w:val="000000" w:themeColor="text1"/>
                            <w14:textFill>
                              <w14:solidFill>
                                <w14:schemeClr w14:val="tx1"/>
                              </w14:solidFill>
                            </w14:textFill>
                          </w:rPr>
                          <m:t>−</m:t>
                        </m:r>
                        <m:nary>
                          <m:naryPr>
                            <m:chr m:val="∑"/>
                            <m:limLoc m:val="subSup"/>
                            <m:ctrlPr>
                              <w:rPr>
                                <w:rFonts w:ascii="Cambria Math" w:hAnsi="Cambria Math"/>
                                <w:color w:val="000000" w:themeColor="text1"/>
                                <w14:textFill>
                                  <w14:solidFill>
                                    <w14:schemeClr w14:val="tx1"/>
                                  </w14:solidFill>
                                </w14:textFill>
                              </w:rPr>
                            </m:ctrlPr>
                          </m:naryPr>
                          <m:sub>
                            <m:r>
                              <m:rPr>
                                <m:sty m:val="p"/>
                              </m:rPr>
                              <w:rPr>
                                <w:color w:val="000000" w:themeColor="text1"/>
                                <w14:textFill>
                                  <w14:solidFill>
                                    <w14:schemeClr w14:val="tx1"/>
                                  </w14:solidFill>
                                </w14:textFill>
                              </w:rPr>
                              <m:t>j=1</m:t>
                            </m:r>
                            <m:ctrlPr>
                              <w:rPr>
                                <w:rFonts w:hint="eastAsia" w:ascii="Cambria Math" w:hAnsi="Cambria Math"/>
                                <w:color w:val="000000" w:themeColor="text1"/>
                                <w14:textFill>
                                  <w14:solidFill>
                                    <w14:schemeClr w14:val="tx1"/>
                                  </w14:solidFill>
                                </w14:textFill>
                              </w:rPr>
                            </m:ctrlPr>
                          </m:sub>
                          <m:sup>
                            <m:r>
                              <m:rPr>
                                <m:sty m:val="p"/>
                              </m:rPr>
                              <w:rPr>
                                <w:color w:val="000000" w:themeColor="text1"/>
                                <w14:textFill>
                                  <w14:solidFill>
                                    <w14:schemeClr w14:val="tx1"/>
                                  </w14:solidFill>
                                </w14:textFill>
                              </w:rPr>
                              <m:t>p</m:t>
                            </m:r>
                            <m:ctrlPr>
                              <w:rPr>
                                <w:rFonts w:hint="eastAsia" w:ascii="Cambria Math" w:hAnsi="Cambria Math"/>
                                <w:color w:val="000000" w:themeColor="text1"/>
                                <w14:textFill>
                                  <w14:solidFill>
                                    <w14:schemeClr w14:val="tx1"/>
                                  </w14:solidFill>
                                </w14:textFill>
                              </w:rPr>
                            </m:ctrlPr>
                          </m:sup>
                          <m:e>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β</m:t>
                                </m:r>
                                <m:ctrlPr>
                                  <w:rPr>
                                    <w:rFonts w:hint="eastAsia"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j</m:t>
                                </m:r>
                                <m:ctrlPr>
                                  <w:rPr>
                                    <w:rFonts w:hint="eastAsia"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e>
                        </m:nary>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e>
                  <m:sup>
                    <m:r>
                      <m:rPr>
                        <m:sty m:val="p"/>
                      </m:rPr>
                      <w:rPr>
                        <w:color w:val="000000" w:themeColor="text1"/>
                        <w14:textFill>
                          <w14:solidFill>
                            <w14:schemeClr w14:val="tx1"/>
                          </w14:solidFill>
                        </w14:textFill>
                      </w:rPr>
                      <m:t>2</m:t>
                    </m:r>
                    <m:ctrlPr>
                      <w:rPr>
                        <w:rFonts w:ascii="Cambria Math" w:hAnsi="Cambria Math"/>
                        <w:color w:val="000000" w:themeColor="text1"/>
                        <w14:textFill>
                          <w14:solidFill>
                            <w14:schemeClr w14:val="tx1"/>
                          </w14:solidFill>
                        </w14:textFill>
                      </w:rPr>
                    </m:ctrlPr>
                  </m:sup>
                </m:sSup>
                <m:ctrlPr>
                  <w:rPr>
                    <w:rFonts w:hint="eastAsia" w:ascii="Cambria Math" w:hAnsi="Cambria Math"/>
                    <w:color w:val="000000" w:themeColor="text1"/>
                    <w14:textFill>
                      <w14:solidFill>
                        <w14:schemeClr w14:val="tx1"/>
                      </w14:solidFill>
                    </w14:textFill>
                  </w:rPr>
                </m:ctrlPr>
              </m:e>
            </m:nary>
            <m:ctrlPr>
              <w:rPr>
                <w:rFonts w:ascii="Cambria Math" w:hAnsi="Cambria Math"/>
                <w:color w:val="000000" w:themeColor="text1"/>
                <w14:textFill>
                  <w14:solidFill>
                    <w14:schemeClr w14:val="tx1"/>
                  </w14:solidFill>
                </w14:textFill>
              </w:rPr>
            </m:ctrlPr>
          </m:e>
        </m:func>
        <m:r>
          <m:rPr>
            <m:sty m:val="p"/>
          </m:rPr>
          <w:rPr>
            <w:color w:val="000000" w:themeColor="text1"/>
            <w14:textFill>
              <w14:solidFill>
                <w14:schemeClr w14:val="tx1"/>
              </w14:solidFill>
            </w14:textFill>
          </w:rPr>
          <m:t>+λ</m:t>
        </m:r>
        <m:nary>
          <m:naryPr>
            <m:chr m:val="∑"/>
            <m:limLoc m:val="subSup"/>
            <m:ctrlPr>
              <w:rPr>
                <w:rFonts w:ascii="Cambria Math" w:hAnsi="Cambria Math"/>
                <w:color w:val="000000" w:themeColor="text1"/>
                <w14:textFill>
                  <w14:solidFill>
                    <w14:schemeClr w14:val="tx1"/>
                  </w14:solidFill>
                </w14:textFill>
              </w:rPr>
            </m:ctrlPr>
          </m:naryPr>
          <m:sub>
            <m:r>
              <m:rPr>
                <m:sty m:val="p"/>
              </m:rPr>
              <w:rPr>
                <w:color w:val="000000" w:themeColor="text1"/>
                <w14:textFill>
                  <w14:solidFill>
                    <w14:schemeClr w14:val="tx1"/>
                  </w14:solidFill>
                </w14:textFill>
              </w:rPr>
              <m:t>j=1</m:t>
            </m:r>
            <m:ctrlPr>
              <w:rPr>
                <w:rFonts w:ascii="Cambria Math" w:hAnsi="Cambria Math"/>
                <w:color w:val="000000" w:themeColor="text1"/>
                <w14:textFill>
                  <w14:solidFill>
                    <w14:schemeClr w14:val="tx1"/>
                  </w14:solidFill>
                </w14:textFill>
              </w:rPr>
            </m:ctrlPr>
          </m:sub>
          <m:sup>
            <m:r>
              <m:rPr>
                <m:sty m:val="p"/>
              </m:rPr>
              <w:rPr>
                <w:color w:val="000000" w:themeColor="text1"/>
                <w14:textFill>
                  <w14:solidFill>
                    <w14:schemeClr w14:val="tx1"/>
                  </w14:solidFill>
                </w14:textFill>
              </w:rPr>
              <m:t>p</m:t>
            </m:r>
            <m:ctrlPr>
              <w:rPr>
                <w:rFonts w:ascii="Cambria Math" w:hAnsi="Cambria Math"/>
                <w:color w:val="000000" w:themeColor="text1"/>
                <w14:textFill>
                  <w14:solidFill>
                    <w14:schemeClr w14:val="tx1"/>
                  </w14:solidFill>
                </w14:textFill>
              </w:rPr>
            </m:ctrlPr>
          </m:sup>
          <m:e>
            <m:r>
              <m:rPr>
                <m:sty m:val="p"/>
              </m:rPr>
              <w:rPr>
                <w:color w:val="000000" w:themeColor="text1"/>
                <w14:textFill>
                  <w14:solidFill>
                    <w14:schemeClr w14:val="tx1"/>
                  </w14:solidFill>
                </w14:textFill>
              </w:rPr>
              <m:t>|</m:t>
            </m:r>
            <m:ctrlPr>
              <w:rPr>
                <w:rFonts w:ascii="Cambria Math" w:hAnsi="Cambria Math"/>
                <w:color w:val="000000" w:themeColor="text1"/>
                <w14:textFill>
                  <w14:solidFill>
                    <w14:schemeClr w14:val="tx1"/>
                  </w14:solidFill>
                </w14:textFill>
              </w:rPr>
            </m:ctrlPr>
          </m:e>
        </m:nary>
        <m:sSub>
          <m:sSubPr>
            <m:ctrlPr>
              <w:rPr>
                <w:rFonts w:ascii="Cambria Math" w:hAnsi="Cambria Math"/>
                <w:color w:val="000000" w:themeColor="text1"/>
                <w14:textFill>
                  <w14:solidFill>
                    <w14:schemeClr w14:val="tx1"/>
                  </w14:solidFill>
                </w14:textFill>
              </w:rPr>
            </m:ctrlPr>
          </m:sSubPr>
          <m:e>
            <m:r>
              <m:rPr>
                <m:sty m:val="p"/>
              </m:rPr>
              <w:rPr>
                <w:color w:val="000000" w:themeColor="text1"/>
                <w14:textFill>
                  <w14:solidFill>
                    <w14:schemeClr w14:val="tx1"/>
                  </w14:solidFill>
                </w14:textFill>
              </w:rPr>
              <m:t>β</m:t>
            </m:r>
            <m:ctrlPr>
              <w:rPr>
                <w:rFonts w:ascii="Cambria Math" w:hAnsi="Cambria Math"/>
                <w:color w:val="000000" w:themeColor="text1"/>
                <w14:textFill>
                  <w14:solidFill>
                    <w14:schemeClr w14:val="tx1"/>
                  </w14:solidFill>
                </w14:textFill>
              </w:rPr>
            </m:ctrlPr>
          </m:e>
          <m:sub>
            <m:r>
              <m:rPr>
                <m:sty m:val="p"/>
              </m:rPr>
              <w:rPr>
                <w:color w:val="000000" w:themeColor="text1"/>
                <w14:textFill>
                  <w14:solidFill>
                    <w14:schemeClr w14:val="tx1"/>
                  </w14:solidFill>
                </w14:textFill>
              </w:rPr>
              <m:t>j</m:t>
            </m:r>
            <m:ctrlPr>
              <w:rPr>
                <w:rFonts w:ascii="Cambria Math" w:hAnsi="Cambria Math"/>
                <w:color w:val="000000" w:themeColor="text1"/>
                <w14:textFill>
                  <w14:solidFill>
                    <w14:schemeClr w14:val="tx1"/>
                  </w14:solidFill>
                </w14:textFill>
              </w:rPr>
            </m:ctrlPr>
          </m:sub>
        </m:sSub>
        <m:r>
          <m:rPr>
            <m:sty m:val="p"/>
          </m:rPr>
          <w:rPr>
            <w:color w:val="000000" w:themeColor="text1"/>
            <w14:textFill>
              <w14:solidFill>
                <w14:schemeClr w14:val="tx1"/>
              </w14:solidFill>
            </w14:textFill>
          </w:rPr>
          <m:t>|</m:t>
        </m:r>
      </m:oMath>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（3）</w:t>
      </w:r>
    </w:p>
    <w:p w14:paraId="7D6618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式中，</w:t>
      </w:r>
      <m:oMath>
        <m:r>
          <m:rPr/>
          <w:rPr>
            <w:rFonts w:ascii="Cambria Math" w:hAnsi="Cambria Math"/>
            <w:color w:val="000000" w:themeColor="text1"/>
            <w14:textFill>
              <w14:solidFill>
                <w14:schemeClr w14:val="tx1"/>
              </w14:solidFill>
            </w14:textFill>
          </w:rPr>
          <m:t>λ</m:t>
        </m:r>
      </m:oMath>
      <w:r>
        <w:rPr>
          <w:rFonts w:hint="eastAsia"/>
          <w:color w:val="000000" w:themeColor="text1"/>
          <w14:textFill>
            <w14:solidFill>
              <w14:schemeClr w14:val="tx1"/>
            </w14:solidFill>
          </w14:textFill>
        </w:rPr>
        <w:t>为正则化系数，用于调控惩罚强度。</w:t>
      </w:r>
      <m:oMath>
        <m:sSub>
          <m:sSubPr>
            <m:ctrlPr>
              <w:rPr>
                <w:rFonts w:ascii="Cambria Math" w:hAnsi="Cambria Math"/>
              </w:rPr>
            </m:ctrlPr>
          </m:sSubPr>
          <m:e>
            <m:r>
              <m:rPr>
                <m:sty m:val="p"/>
              </m:rPr>
              <m:t>L</m:t>
            </m:r>
            <m:ctrlPr>
              <w:rPr>
                <w:rFonts w:hint="eastAsia" w:ascii="Cambria Math" w:hAnsi="Cambria Math"/>
              </w:rPr>
            </m:ctrlPr>
          </m:e>
          <m:sub>
            <m:r>
              <m:rPr>
                <m:sty m:val="p"/>
              </m:rPr>
              <m:t>1</m:t>
            </m:r>
            <m:ctrlPr>
              <w:rPr>
                <w:rFonts w:hint="eastAsia" w:ascii="Cambria Math" w:hAnsi="Cambria Math"/>
              </w:rPr>
            </m:ctrlPr>
          </m:sub>
        </m:sSub>
      </m:oMath>
      <w:r>
        <w:rPr>
          <w:rFonts w:hint="eastAsia"/>
          <w:color w:val="000000" w:themeColor="text1"/>
          <w14:textFill>
            <w14:solidFill>
              <w14:schemeClr w14:val="tx1"/>
            </w14:solidFill>
          </w14:textFill>
        </w:rPr>
        <w:t>正则化可使无效、冗余特征的系数被压缩至零，仅保留与结局变量高度相关的核心特征，能够有效剔除多重共线性变量、降低特征维度、抑制过拟合，最终获得精简且高区分度的最优特征子集。</w:t>
      </w:r>
    </w:p>
    <w:p w14:paraId="50CC21E5">
      <w:pPr>
        <w:pStyle w:val="4"/>
        <w:ind w:firstLine="482"/>
        <w:rPr>
          <w:rFonts w:ascii="Times New Roman" w:hAnsi="Times New Roman"/>
        </w:rPr>
      </w:pPr>
      <w:r>
        <w:rPr>
          <w:rFonts w:hint="eastAsia" w:ascii="Times New Roman" w:hAnsi="Times New Roman"/>
        </w:rPr>
        <w:t>4.XGBoost模型</w:t>
      </w:r>
    </w:p>
    <w:p w14:paraId="423D319F">
      <w:pPr>
        <w:ind w:firstLine="480"/>
      </w:pPr>
      <w:r>
        <w:rPr>
          <w:rFonts w:hint="eastAsia"/>
        </w:rPr>
        <w:t>XGBoost（Extreme Gradient Boosting）通过二阶泰勒展开、</w:t>
      </w:r>
      <m:oMath>
        <m:sSub>
          <m:sSubPr>
            <m:ctrlPr>
              <w:rPr>
                <w:rFonts w:ascii="Cambria Math" w:hAnsi="Cambria Math"/>
              </w:rPr>
            </m:ctrlPr>
          </m:sSubPr>
          <m:e>
            <m:r>
              <m:rPr>
                <m:sty m:val="p"/>
              </m:rPr>
              <m:t>L</m:t>
            </m:r>
            <m:ctrlPr>
              <w:rPr>
                <w:rFonts w:hint="eastAsia" w:ascii="Cambria Math" w:hAnsi="Cambria Math"/>
              </w:rPr>
            </m:ctrlPr>
          </m:e>
          <m:sub>
            <m:r>
              <m:rPr>
                <m:sty m:val="p"/>
              </m:rPr>
              <m:t>1</m:t>
            </m:r>
            <m:ctrlPr>
              <w:rPr>
                <w:rFonts w:hint="eastAsia" w:ascii="Cambria Math" w:hAnsi="Cambria Math"/>
              </w:rPr>
            </m:ctrlPr>
          </m:sub>
        </m:sSub>
        <m:r>
          <m:rPr>
            <m:sty m:val="p"/>
          </m:rPr>
          <m:t>/</m:t>
        </m:r>
        <m:sSub>
          <m:sSubPr>
            <m:ctrlPr>
              <w:rPr>
                <w:rFonts w:ascii="Cambria Math" w:hAnsi="Cambria Math"/>
              </w:rPr>
            </m:ctrlPr>
          </m:sSubPr>
          <m:e>
            <m:r>
              <m:rPr>
                <m:sty m:val="p"/>
              </m:rPr>
              <m:t>L</m:t>
            </m:r>
            <m:ctrlPr>
              <w:rPr>
                <w:rFonts w:hint="eastAsia" w:ascii="Cambria Math" w:hAnsi="Cambria Math"/>
              </w:rPr>
            </m:ctrlPr>
          </m:e>
          <m:sub>
            <m:r>
              <m:rPr>
                <m:sty m:val="p"/>
              </m:rPr>
              <m:t>2</m:t>
            </m:r>
            <m:ctrlPr>
              <w:rPr>
                <w:rFonts w:hint="eastAsia" w:ascii="Cambria Math" w:hAnsi="Cambria Math"/>
              </w:rPr>
            </m:ctrlPr>
          </m:sub>
        </m:sSub>
      </m:oMath>
      <w:r>
        <w:rPr>
          <w:rFonts w:hint="eastAsia"/>
        </w:rPr>
        <w:t>正则化与缺失值自动处理，大幅提升模型泛化能力，其目标函数为：</w:t>
      </w:r>
    </w:p>
    <w:p w14:paraId="40A57C06">
      <w:pPr>
        <w:tabs>
          <w:tab w:val="left" w:pos="2520"/>
          <w:tab w:val="left" w:pos="7560"/>
        </w:tabs>
        <w:spacing w:line="240" w:lineRule="auto"/>
        <w:ind w:firstLine="0" w:firstLineChars="0"/>
      </w:pPr>
      <w:r>
        <w:rPr>
          <w:rFonts w:hint="eastAsia"/>
        </w:rPr>
        <w:tab/>
      </w:r>
      <m:oMath>
        <m:r>
          <m:rPr>
            <m:sty m:val="p"/>
            <m:scr m:val="script"/>
          </m:rPr>
          <w:rPr>
            <w:rFonts w:hint="eastAsia" w:eastAsia="MS Mincho"/>
          </w:rPr>
          <m:t>ℒ</m:t>
        </m:r>
        <m:r>
          <m:rPr>
            <m:sty m:val="p"/>
          </m:rPr>
          <w:rPr>
            <w:rFonts w:hint="eastAsia"/>
          </w:rPr>
          <m:t>(ϕ)=</m:t>
        </m:r>
        <m:nary>
          <m:naryPr>
            <m:chr m:val="∑"/>
            <m:limLoc m:val="subSup"/>
            <m:ctrlPr>
              <w:rPr>
                <w:rFonts w:hint="eastAsia" w:ascii="Cambria Math" w:hAnsi="Cambria Math"/>
              </w:rPr>
            </m:ctrlPr>
          </m:naryPr>
          <m:sub>
            <m:r>
              <m:rPr>
                <m:sty m:val="p"/>
              </m:rPr>
              <w:rPr>
                <w:rFonts w:hint="eastAsia"/>
              </w:rPr>
              <m:t>i=1</m:t>
            </m:r>
            <m:ctrlPr>
              <w:rPr>
                <w:rFonts w:hint="eastAsia" w:ascii="Cambria Math" w:hAnsi="Cambria Math"/>
              </w:rPr>
            </m:ctrlPr>
          </m:sub>
          <m:sup>
            <m:r>
              <m:rPr>
                <m:sty m:val="p"/>
              </m:rPr>
              <w:rPr>
                <w:rFonts w:hint="eastAsia"/>
              </w:rPr>
              <m:t>n</m:t>
            </m:r>
            <m:ctrlPr>
              <w:rPr>
                <w:rFonts w:hint="eastAsia" w:ascii="Cambria Math" w:hAnsi="Cambria Math"/>
              </w:rPr>
            </m:ctrlPr>
          </m:sup>
          <m:e>
            <m:r>
              <m:rPr>
                <m:sty m:val="p"/>
              </m:rPr>
              <w:rPr>
                <w:rFonts w:hint="eastAsia"/>
              </w:rPr>
              <m:t>l</m:t>
            </m:r>
            <m:ctrlPr>
              <w:rPr>
                <w:rFonts w:hint="eastAsia" w:ascii="Cambria Math" w:hAnsi="Cambria Math"/>
              </w:rPr>
            </m:ctrlPr>
          </m:e>
        </m:nary>
        <m:r>
          <m:rPr>
            <m:sty m:val="p"/>
          </m:rPr>
          <w:rPr>
            <w:rFonts w:hint="eastAsia"/>
          </w:rPr>
          <m:t>(</m:t>
        </m:r>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w:rPr>
                <w:rFonts w:hint="eastAsia"/>
              </w:rPr>
              <m:t>i</m:t>
            </m:r>
            <m:ctrlPr>
              <w:rPr>
                <w:rFonts w:hint="eastAsia" w:ascii="Cambria Math" w:hAnsi="Cambria Math"/>
              </w:rPr>
            </m:ctrlPr>
          </m:sub>
        </m:sSub>
        <m:r>
          <m:rPr>
            <m:sty m:val="p"/>
          </m:rPr>
          <w:rPr>
            <w:rFonts w:hint="eastAsia"/>
          </w:rPr>
          <m:t>,</m:t>
        </m:r>
        <m:acc>
          <m:accPr>
            <m:ctrlPr>
              <w:rPr>
                <w:rFonts w:hint="eastAsia" w:ascii="Cambria Math" w:hAnsi="Cambria Math"/>
              </w:rPr>
            </m:ctrlPr>
          </m:accPr>
          <m:e>
            <m:sSub>
              <m:sSubPr>
                <m:ctrlPr>
                  <w:rPr>
                    <w:rFonts w:hint="eastAsia" w:ascii="Cambria Math" w:hAnsi="Cambria Math"/>
                  </w:rPr>
                </m:ctrlPr>
              </m:sSubPr>
              <m:e>
                <m:r>
                  <m:rPr>
                    <m:sty m:val="p"/>
                  </m:rPr>
                  <w:rPr>
                    <w:rFonts w:hint="eastAsia"/>
                  </w:rPr>
                  <m:t>y</m:t>
                </m:r>
                <m:ctrlPr>
                  <w:rPr>
                    <w:rFonts w:hint="eastAsia" w:ascii="Cambria Math" w:hAnsi="Cambria Math"/>
                  </w:rPr>
                </m:ctrlPr>
              </m:e>
              <m:sub>
                <m:r>
                  <m:rPr>
                    <m:sty m:val="p"/>
                  </m:rPr>
                  <w:rPr>
                    <w:rFonts w:hint="eastAsia"/>
                  </w:rPr>
                  <m:t>i</m:t>
                </m:r>
                <m:ctrlPr>
                  <w:rPr>
                    <w:rFonts w:hint="eastAsia" w:ascii="Cambria Math" w:hAnsi="Cambria Math"/>
                  </w:rPr>
                </m:ctrlPr>
              </m:sub>
            </m:sSub>
            <m:ctrlPr>
              <w:rPr>
                <w:rFonts w:hint="eastAsia" w:ascii="Cambria Math" w:hAnsi="Cambria Math"/>
              </w:rPr>
            </m:ctrlPr>
          </m:e>
        </m:acc>
        <m:r>
          <m:rPr>
            <m:sty m:val="p"/>
          </m:rPr>
          <w:rPr>
            <w:rFonts w:hint="eastAsia"/>
          </w:rPr>
          <m:t>)+</m:t>
        </m:r>
        <m:nary>
          <m:naryPr>
            <m:chr m:val="∑"/>
            <m:limLoc m:val="subSup"/>
            <m:ctrlPr>
              <w:rPr>
                <w:rFonts w:hint="eastAsia" w:ascii="Cambria Math" w:hAnsi="Cambria Math"/>
              </w:rPr>
            </m:ctrlPr>
          </m:naryPr>
          <m:sub>
            <m:r>
              <m:rPr>
                <m:sty m:val="p"/>
              </m:rPr>
              <w:rPr>
                <w:rFonts w:hint="eastAsia"/>
              </w:rPr>
              <m:t>k=1</m:t>
            </m:r>
            <m:ctrlPr>
              <w:rPr>
                <w:rFonts w:hint="eastAsia" w:ascii="Cambria Math" w:hAnsi="Cambria Math"/>
              </w:rPr>
            </m:ctrlPr>
          </m:sub>
          <m:sup>
            <m:r>
              <m:rPr>
                <m:sty m:val="p"/>
              </m:rPr>
              <w:rPr>
                <w:rFonts w:hint="eastAsia"/>
              </w:rPr>
              <m:t>K</m:t>
            </m:r>
            <m:ctrlPr>
              <w:rPr>
                <w:rFonts w:hint="eastAsia" w:ascii="Cambria Math" w:hAnsi="Cambria Math"/>
              </w:rPr>
            </m:ctrlPr>
          </m:sup>
          <m:e>
            <m:r>
              <m:rPr>
                <m:sty m:val="p"/>
              </m:rPr>
              <w:rPr>
                <w:rFonts w:hint="eastAsia"/>
              </w:rPr>
              <m:t>Ω(</m:t>
            </m:r>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k</m:t>
                </m:r>
                <m:ctrlPr>
                  <w:rPr>
                    <w:rFonts w:hint="eastAsia" w:ascii="Cambria Math" w:hAnsi="Cambria Math"/>
                  </w:rPr>
                </m:ctrlPr>
              </m:sub>
            </m:sSub>
            <m:r>
              <m:rPr>
                <m:sty m:val="p"/>
              </m:rPr>
              <w:rPr>
                <w:rFonts w:hint="eastAsia"/>
              </w:rPr>
              <m:t>)</m:t>
            </m:r>
            <m:ctrlPr>
              <w:rPr>
                <w:rFonts w:hint="eastAsia" w:ascii="Cambria Math" w:hAnsi="Cambria Math"/>
              </w:rPr>
            </m:ctrlPr>
          </m:e>
        </m:nary>
      </m:oMath>
      <w:r>
        <w:rPr>
          <w:rFonts w:hint="eastAsia"/>
        </w:rPr>
        <w:tab/>
      </w:r>
      <w:r>
        <w:rPr>
          <w:rFonts w:hint="eastAsia"/>
        </w:rPr>
        <w:t>（4）</w:t>
      </w:r>
    </w:p>
    <w:p w14:paraId="2793D529">
      <w:pPr>
        <w:ind w:firstLine="480"/>
      </w:pPr>
      <w:r>
        <w:rPr>
          <w:rFonts w:hint="eastAsia"/>
        </w:rPr>
        <w:t>式中，</w:t>
      </w:r>
      <m:oMath>
        <m:r>
          <m:rPr>
            <m:sty m:val="p"/>
          </m:rPr>
          <m:t>l(</m:t>
        </m:r>
        <m:sSub>
          <m:sSubPr>
            <m:ctrlPr>
              <w:rPr>
                <w:rFonts w:hint="eastAsia" w:ascii="Cambria Math" w:hAnsi="Cambria Math"/>
              </w:rPr>
            </m:ctrlPr>
          </m:sSubPr>
          <m:e>
            <m:r>
              <m:rPr>
                <m:sty m:val="p"/>
              </m:rPr>
              <m:t>y</m:t>
            </m:r>
            <m:ctrlPr>
              <w:rPr>
                <w:rFonts w:hint="eastAsia" w:ascii="Cambria Math" w:hAnsi="Cambria Math"/>
              </w:rPr>
            </m:ctrlPr>
          </m:e>
          <m:sub>
            <m:r>
              <m:rPr>
                <m:sty m:val="p"/>
              </m:rPr>
              <m:t>i</m:t>
            </m:r>
            <m:ctrlPr>
              <w:rPr>
                <w:rFonts w:hint="eastAsia" w:ascii="Cambria Math" w:hAnsi="Cambria Math"/>
              </w:rPr>
            </m:ctrlPr>
          </m:sub>
        </m:sSub>
        <m:r>
          <m:rPr>
            <m:sty m:val="p"/>
          </m:rPr>
          <m:t>,</m:t>
        </m:r>
        <m:acc>
          <m:accPr>
            <m:ctrlPr>
              <w:rPr>
                <w:rFonts w:ascii="Cambria Math" w:hAnsi="Cambria Math"/>
              </w:rPr>
            </m:ctrlPr>
          </m:accPr>
          <m:e>
            <m:sSub>
              <m:sSubPr>
                <m:ctrlPr>
                  <w:rPr>
                    <w:rFonts w:ascii="Cambria Math" w:hAnsi="Cambria Math"/>
                  </w:rPr>
                </m:ctrlPr>
              </m:sSubPr>
              <m:e>
                <m:r>
                  <m:rPr>
                    <m:sty m:val="p"/>
                  </m:rPr>
                  <m:t>y</m:t>
                </m:r>
                <m:ctrlPr>
                  <w:rPr>
                    <w:rFonts w:ascii="Cambria Math" w:hAnsi="Cambria Math"/>
                  </w:rPr>
                </m:ctrlPr>
              </m:e>
              <m:sub>
                <m:r>
                  <m:rPr>
                    <m:sty m:val="p"/>
                  </m:rPr>
                  <m:t>i</m:t>
                </m:r>
                <m:ctrlPr>
                  <w:rPr>
                    <w:rFonts w:ascii="Cambria Math" w:hAnsi="Cambria Math"/>
                  </w:rPr>
                </m:ctrlPr>
              </m:sub>
            </m:sSub>
            <m:ctrlPr>
              <w:rPr>
                <w:rFonts w:ascii="Cambria Math" w:hAnsi="Cambria Math"/>
              </w:rPr>
            </m:ctrlPr>
          </m:e>
        </m:acc>
        <m:r>
          <m:rPr>
            <m:sty m:val="p"/>
          </m:rPr>
          <m:t>)</m:t>
        </m:r>
      </m:oMath>
      <w:r>
        <w:rPr>
          <w:rFonts w:hint="eastAsia"/>
        </w:rPr>
        <w:t>为交叉熵损失，</w:t>
      </w:r>
      <m:oMath>
        <m:r>
          <m:rPr>
            <m:sty m:val="p"/>
          </m:rPr>
          <m:t>Ω(</m:t>
        </m:r>
        <m:sSub>
          <m:sSubPr>
            <m:ctrlPr>
              <w:rPr>
                <w:rFonts w:ascii="Cambria Math" w:hAnsi="Cambria Math"/>
              </w:rPr>
            </m:ctrlPr>
          </m:sSubPr>
          <m:e>
            <m:r>
              <m:rPr>
                <m:sty m:val="p"/>
              </m:rPr>
              <m:t>f</m:t>
            </m:r>
            <m:ctrlPr>
              <w:rPr>
                <w:rFonts w:ascii="Cambria Math" w:hAnsi="Cambria Math"/>
              </w:rPr>
            </m:ctrlPr>
          </m:e>
          <m:sub>
            <m:r>
              <m:rPr>
                <m:sty m:val="p"/>
              </m:rPr>
              <m:t>k</m:t>
            </m:r>
            <m:ctrlPr>
              <w:rPr>
                <w:rFonts w:ascii="Cambria Math" w:hAnsi="Cambria Math"/>
              </w:rPr>
            </m:ctrlPr>
          </m:sub>
        </m:sSub>
        <m:r>
          <m:rPr>
            <m:sty m:val="p"/>
          </m:rPr>
          <m:t>)</m:t>
        </m:r>
      </m:oMath>
      <w:r>
        <w:rPr>
          <w:rFonts w:hint="eastAsia"/>
        </w:rPr>
        <w:t>为决策树正则项，用于控制模型复杂度、防止过拟合，在不平衡数据集上表现更稳定。</w:t>
      </w:r>
    </w:p>
    <w:p w14:paraId="6D655DB5">
      <w:pPr>
        <w:pStyle w:val="3"/>
        <w:ind w:firstLine="560"/>
      </w:pPr>
      <w:bookmarkStart w:id="40" w:name="_Toc23123"/>
      <w:bookmarkStart w:id="41" w:name="_Toc24802"/>
      <w:r>
        <w:rPr>
          <w:rFonts w:hint="eastAsia"/>
        </w:rPr>
        <w:t>（四）数据处理与模型评估理论</w:t>
      </w:r>
      <w:bookmarkEnd w:id="40"/>
      <w:bookmarkEnd w:id="41"/>
    </w:p>
    <w:p w14:paraId="64C8E475">
      <w:pPr>
        <w:pStyle w:val="4"/>
        <w:ind w:firstLine="482"/>
        <w:rPr>
          <w:rFonts w:ascii="Times New Roman" w:hAnsi="Times New Roman"/>
        </w:rPr>
      </w:pPr>
      <w:r>
        <w:rPr>
          <w:rFonts w:hint="eastAsia" w:ascii="Times New Roman" w:hAnsi="Times New Roman"/>
        </w:rPr>
        <w:t>1.多源特征融合理论</w:t>
      </w:r>
    </w:p>
    <w:p w14:paraId="09F15884">
      <w:pPr>
        <w:ind w:firstLine="480"/>
      </w:pPr>
      <w:r>
        <w:rPr>
          <w:rFonts w:hint="eastAsia"/>
        </w:rPr>
        <w:t>多源特征融合是整合多模态异构特征的核心理论，分为数据级、特征级与决策级。特征级融合是主流方法，通过数学运算整合特征向量。设两种模态特征为</w:t>
      </w:r>
      <m:oMath>
        <m:sSub>
          <m:sSubPr>
            <m:ctrlPr>
              <w:rPr>
                <w:rFonts w:hint="eastAsia" w:ascii="Cambria Math" w:hAnsi="Cambria Math"/>
              </w:rPr>
            </m:ctrlPr>
          </m:sSubPr>
          <m:e>
            <m:r>
              <m:rPr>
                <m:sty m:val="p"/>
              </m:rPr>
              <m:t>F</m:t>
            </m:r>
            <m:ctrlPr>
              <w:rPr>
                <w:rFonts w:hint="eastAsia" w:ascii="Cambria Math" w:hAnsi="Cambria Math"/>
              </w:rPr>
            </m:ctrlPr>
          </m:e>
          <m:sub>
            <m:r>
              <m:rPr>
                <m:sty m:val="p"/>
              </m:rPr>
              <m:t>1</m:t>
            </m:r>
            <m:ctrlPr>
              <w:rPr>
                <w:rFonts w:hint="eastAsia" w:ascii="Cambria Math" w:hAnsi="Cambria Math"/>
              </w:rPr>
            </m:ctrlPr>
          </m:sub>
        </m:sSub>
        <m:r>
          <m:rPr>
            <m:sty m:val="p"/>
          </m:rPr>
          <m:t>∈</m:t>
        </m:r>
        <m:sSup>
          <m:sSupPr>
            <m:ctrlPr>
              <w:rPr>
                <w:rFonts w:ascii="Cambria Math" w:hAnsi="Cambria Math"/>
              </w:rPr>
            </m:ctrlPr>
          </m:sSupPr>
          <m:e>
            <m:r>
              <m:rPr>
                <m:sty m:val="p"/>
                <m:scr m:val="double-struck"/>
              </m:rPr>
              <w:rPr>
                <w:rFonts w:hint="eastAsia" w:eastAsia="MS Mincho"/>
              </w:rPr>
              <m:t>ℝ</m:t>
            </m:r>
            <m:ctrlPr>
              <w:rPr>
                <w:rFonts w:ascii="Cambria Math" w:hAnsi="Cambria Math"/>
              </w:rPr>
            </m:ctrlPr>
          </m:e>
          <m:sup>
            <m:r>
              <m:rPr>
                <m:sty m:val="p"/>
              </m:rPr>
              <w:rPr>
                <w:rFonts w:hint="eastAsia"/>
              </w:rPr>
              <m:t>d</m:t>
            </m:r>
            <m:ctrlPr>
              <w:rPr>
                <w:rFonts w:ascii="Cambria Math" w:hAnsi="Cambria Math"/>
              </w:rPr>
            </m:ctrlPr>
          </m:sup>
        </m:sSup>
      </m:oMath>
      <w:r>
        <w:rPr>
          <w:rFonts w:hint="eastAsia"/>
        </w:rPr>
        <w:t>和</w:t>
      </w:r>
      <m:oMath>
        <m:sSub>
          <m:sSubPr>
            <m:ctrlPr>
              <w:rPr>
                <w:rFonts w:hint="eastAsia" w:ascii="Cambria Math" w:hAnsi="Cambria Math"/>
              </w:rPr>
            </m:ctrlPr>
          </m:sSubPr>
          <m:e>
            <m:r>
              <m:rPr>
                <m:sty m:val="p"/>
              </m:rPr>
              <m:t>F</m:t>
            </m:r>
            <m:ctrlPr>
              <w:rPr>
                <w:rFonts w:hint="eastAsia" w:ascii="Cambria Math" w:hAnsi="Cambria Math"/>
              </w:rPr>
            </m:ctrlPr>
          </m:e>
          <m:sub>
            <m:r>
              <m:rPr>
                <m:sty m:val="p"/>
              </m:rPr>
              <m:t>2</m:t>
            </m:r>
            <m:ctrlPr>
              <w:rPr>
                <w:rFonts w:hint="eastAsia" w:ascii="Cambria Math" w:hAnsi="Cambria Math"/>
              </w:rPr>
            </m:ctrlPr>
          </m:sub>
        </m:sSub>
        <m:r>
          <m:rPr>
            <m:sty m:val="p"/>
          </m:rPr>
          <m:t>∈</m:t>
        </m:r>
        <m:sSup>
          <m:sSupPr>
            <m:ctrlPr>
              <w:rPr>
                <w:rFonts w:ascii="Cambria Math" w:hAnsi="Cambria Math"/>
              </w:rPr>
            </m:ctrlPr>
          </m:sSupPr>
          <m:e>
            <m:r>
              <m:rPr>
                <m:sty m:val="p"/>
                <m:scr m:val="double-struck"/>
              </m:rPr>
              <w:rPr>
                <w:rFonts w:hint="eastAsia" w:eastAsia="MS Mincho"/>
              </w:rPr>
              <m:t>ℝ</m:t>
            </m:r>
            <m:ctrlPr>
              <w:rPr>
                <w:rFonts w:ascii="Cambria Math" w:hAnsi="Cambria Math"/>
              </w:rPr>
            </m:ctrlPr>
          </m:e>
          <m:sup>
            <m:r>
              <m:rPr>
                <m:sty m:val="p"/>
              </m:rPr>
              <w:rPr>
                <w:rFonts w:hint="eastAsia"/>
              </w:rPr>
              <m:t>d</m:t>
            </m:r>
            <m:ctrlPr>
              <w:rPr>
                <w:rFonts w:ascii="Cambria Math" w:hAnsi="Cambria Math"/>
              </w:rPr>
            </m:ctrlPr>
          </m:sup>
        </m:sSup>
      </m:oMath>
      <w:r>
        <w:rPr>
          <w:rFonts w:hint="eastAsia"/>
        </w:rPr>
        <w:t>，常用融合方式包括：</w:t>
      </w:r>
    </w:p>
    <w:p w14:paraId="0ADD64AC">
      <w:pPr>
        <w:ind w:firstLine="480"/>
      </w:pPr>
      <w:r>
        <w:rPr>
          <w:rFonts w:hint="eastAsia"/>
        </w:rPr>
        <w:t>特征拼接：</w:t>
      </w:r>
    </w:p>
    <w:p w14:paraId="6A6BCE1C">
      <w:pPr>
        <w:tabs>
          <w:tab w:val="left" w:pos="3360"/>
          <w:tab w:val="left" w:pos="7560"/>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cat</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1</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2</m:t>
            </m:r>
            <m:ctrlPr>
              <w:rPr>
                <w:rFonts w:hint="eastAsia" w:ascii="Cambria Math" w:hAnsi="Cambria Math"/>
              </w:rPr>
            </m:ctrlPr>
          </m:sub>
        </m:sSub>
      </m:oMath>
      <w:r>
        <w:rPr>
          <w:rFonts w:hint="eastAsia"/>
        </w:rPr>
        <w:tab/>
      </w:r>
      <w:r>
        <w:rPr>
          <w:rFonts w:hint="eastAsia"/>
        </w:rPr>
        <w:t>（5）</w:t>
      </w:r>
    </w:p>
    <w:p w14:paraId="44CEE7C8">
      <w:pPr>
        <w:ind w:firstLine="480"/>
      </w:pPr>
      <w:r>
        <w:rPr>
          <w:rFonts w:hint="eastAsia"/>
        </w:rPr>
        <w:t>加权融合：</w:t>
      </w:r>
    </w:p>
    <w:p w14:paraId="509EB4CE">
      <w:pPr>
        <w:tabs>
          <w:tab w:val="left" w:pos="2940"/>
          <w:tab w:val="left" w:pos="7560"/>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fusion</m:t>
            </m:r>
            <m:ctrlPr>
              <w:rPr>
                <w:rFonts w:hint="eastAsia" w:ascii="Cambria Math" w:hAnsi="Cambria Math"/>
              </w:rPr>
            </m:ctrlPr>
          </m:sub>
        </m:sSub>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w:rPr>
                <w:rFonts w:hint="eastAsia"/>
              </w:rPr>
              <m:t>1</m:t>
            </m:r>
            <m:ctrlPr>
              <w:rPr>
                <w:rFonts w:hint="eastAsia" w:ascii="Cambria Math" w:hAnsi="Cambria Math"/>
              </w:rPr>
            </m:ctrlPr>
          </m:sub>
        </m:sSub>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1</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w:rPr>
                <w:rFonts w:hint="eastAsia"/>
              </w:rPr>
              <m:t>2</m:t>
            </m:r>
            <m:ctrlPr>
              <w:rPr>
                <w:rFonts w:hint="eastAsia" w:ascii="Cambria Math" w:hAnsi="Cambria Math"/>
              </w:rPr>
            </m:ctrlPr>
          </m:sub>
        </m:sSub>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2</m:t>
            </m:r>
            <m:ctrlPr>
              <w:rPr>
                <w:rFonts w:hint="eastAsia" w:ascii="Cambria Math" w:hAnsi="Cambria Math"/>
              </w:rPr>
            </m:ctrlPr>
          </m:sub>
        </m:sSub>
      </m:oMath>
      <w:r>
        <w:rPr>
          <w:rFonts w:hint="eastAsia"/>
        </w:rPr>
        <w:tab/>
      </w:r>
      <w:r>
        <w:rPr>
          <w:rFonts w:hint="eastAsia"/>
        </w:rPr>
        <w:t>（6）</w:t>
      </w:r>
    </w:p>
    <w:p w14:paraId="738B11CF">
      <w:pPr>
        <w:ind w:firstLine="480"/>
      </w:pPr>
      <w:r>
        <w:rPr>
          <w:rFonts w:hint="eastAsia"/>
        </w:rPr>
        <w:t>其中</w:t>
      </w:r>
      <m:oMath>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1</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2</m:t>
            </m:r>
            <m:ctrlPr>
              <w:rPr>
                <w:rFonts w:hint="eastAsia" w:ascii="Cambria Math" w:hAnsi="Cambria Math"/>
              </w:rPr>
            </m:ctrlPr>
          </m:sub>
        </m:sSub>
      </m:oMath>
      <w:r>
        <w:rPr>
          <w:rFonts w:hint="eastAsia"/>
        </w:rPr>
        <w:t>为权重系数，满足</w:t>
      </w:r>
      <m:oMath>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1</m:t>
            </m:r>
            <m:ctrlPr>
              <w:rPr>
                <w:rFonts w:hint="eastAsia" w:ascii="Cambria Math" w:hAnsi="Cambria Math"/>
              </w:rPr>
            </m:ctrlPr>
          </m:sub>
        </m:sSub>
        <m:r>
          <m:rPr>
            <m:sty m:val="p"/>
          </m:rPr>
          <m:t>+</m:t>
        </m:r>
        <m:sSub>
          <m:sSubPr>
            <m:ctrlPr>
              <w:rPr>
                <w:rFonts w:hint="eastAsia" w:ascii="Cambria Math" w:hAnsi="Cambria Math"/>
              </w:rPr>
            </m:ctrlPr>
          </m:sSubPr>
          <m:e>
            <m:r>
              <m:rPr>
                <m:sty m:val="p"/>
              </m:rPr>
              <w:rPr>
                <w:rFonts w:hint="eastAsia"/>
              </w:rPr>
              <m:t>ω</m:t>
            </m:r>
            <m:ctrlPr>
              <w:rPr>
                <w:rFonts w:hint="eastAsia" w:ascii="Cambria Math" w:hAnsi="Cambria Math"/>
              </w:rPr>
            </m:ctrlPr>
          </m:e>
          <m:sub>
            <m:r>
              <m:rPr>
                <m:sty m:val="p"/>
              </m:rPr>
              <m:t>2</m:t>
            </m:r>
            <m:ctrlPr>
              <w:rPr>
                <w:rFonts w:hint="eastAsia" w:ascii="Cambria Math" w:hAnsi="Cambria Math"/>
              </w:rPr>
            </m:ctrlPr>
          </m:sub>
        </m:sSub>
        <m:r>
          <m:rPr>
            <m:sty m:val="p"/>
          </m:rPr>
          <m:t>=1</m:t>
        </m:r>
      </m:oMath>
      <w:r>
        <w:rPr>
          <w:rFonts w:hint="eastAsia"/>
        </w:rPr>
        <w:t>，通过学习权重实现信息互补。该方法兼顾信息完整性与计算效率，是多模态建模的关键技术。</w:t>
      </w:r>
    </w:p>
    <w:p w14:paraId="39371D46">
      <w:pPr>
        <w:pStyle w:val="4"/>
        <w:ind w:firstLine="482"/>
        <w:rPr>
          <w:rFonts w:ascii="Times New Roman" w:hAnsi="Times New Roman"/>
        </w:rPr>
      </w:pPr>
      <w:r>
        <w:rPr>
          <w:rFonts w:hint="eastAsia" w:ascii="Times New Roman" w:hAnsi="Times New Roman"/>
        </w:rPr>
        <w:t>2.模型评估指标</w:t>
      </w:r>
    </w:p>
    <w:p w14:paraId="126ACFA3">
      <w:pPr>
        <w:pStyle w:val="4"/>
        <w:ind w:firstLine="480"/>
        <w:rPr>
          <w:rFonts w:ascii="Times New Roman" w:hAnsi="Times New Roman" w:cstheme="minorBidi"/>
          <w:b w:val="0"/>
          <w:szCs w:val="22"/>
        </w:rPr>
      </w:pPr>
      <w:bookmarkStart w:id="42" w:name="_Toc20213"/>
      <w:bookmarkStart w:id="43" w:name="_Toc30045"/>
      <w:r>
        <w:rPr>
          <w:rFonts w:hint="eastAsia" w:ascii="Times New Roman" w:hAnsi="Times New Roman" w:cstheme="minorBidi"/>
          <w:b w:val="0"/>
          <w:szCs w:val="22"/>
        </w:rPr>
        <w:t>①灵敏度、特异度、精确率和F1值评价公式：</w:t>
      </w:r>
      <w:bookmarkEnd w:id="42"/>
      <w:bookmarkEnd w:id="43"/>
    </w:p>
    <w:p w14:paraId="26AC6573">
      <w:pPr>
        <w:tabs>
          <w:tab w:val="left" w:pos="2940"/>
          <w:tab w:val="left" w:pos="7560"/>
        </w:tabs>
        <w:spacing w:line="240" w:lineRule="auto"/>
        <w:ind w:firstLine="0" w:firstLineChars="0"/>
      </w:pPr>
      <w:r>
        <w:rPr>
          <w:rFonts w:hint="eastAsia"/>
        </w:rPr>
        <w:tab/>
      </w:r>
      <m:oMath>
        <m:r>
          <m:rPr>
            <m:sty m:val="p"/>
          </m:rPr>
          <w:rPr>
            <w:rFonts w:hint="eastAsia"/>
          </w:rPr>
          <m:t>Sensitivity=</m:t>
        </m:r>
        <m:f>
          <m:fPr>
            <m:ctrlPr>
              <w:rPr>
                <w:rFonts w:hint="eastAsia" w:ascii="Cambria Math" w:hAnsi="Cambria Math"/>
              </w:rPr>
            </m:ctrlPr>
          </m:fPr>
          <m:num>
            <m:r>
              <m:rPr>
                <m:sty m:val="p"/>
              </m:rPr>
              <w:rPr>
                <w:rFonts w:hint="eastAsia"/>
              </w:rPr>
              <m:t>TP</m:t>
            </m:r>
            <m:ctrlPr>
              <w:rPr>
                <w:rFonts w:hint="eastAsia" w:ascii="Cambria Math" w:hAnsi="Cambria Math"/>
              </w:rPr>
            </m:ctrlPr>
          </m:num>
          <m:den>
            <m:r>
              <m:rPr>
                <m:sty m:val="p"/>
              </m:rPr>
              <w:rPr>
                <w:rFonts w:hint="eastAsia"/>
              </w:rPr>
              <m:t>TP+FN</m:t>
            </m:r>
            <m:ctrlPr>
              <w:rPr>
                <w:rFonts w:hint="eastAsia" w:ascii="Cambria Math" w:hAnsi="Cambria Math"/>
              </w:rPr>
            </m:ctrlPr>
          </m:den>
        </m:f>
      </m:oMath>
      <w:r>
        <w:rPr>
          <w:rFonts w:hint="eastAsia"/>
        </w:rPr>
        <w:tab/>
      </w:r>
      <w:r>
        <w:rPr>
          <w:rFonts w:hint="eastAsia"/>
        </w:rPr>
        <w:t>（7）</w:t>
      </w:r>
    </w:p>
    <w:p w14:paraId="3EBCC053">
      <w:pPr>
        <w:tabs>
          <w:tab w:val="left" w:pos="2940"/>
          <w:tab w:val="left" w:pos="7560"/>
        </w:tabs>
        <w:spacing w:line="240" w:lineRule="auto"/>
        <w:ind w:firstLine="0" w:firstLineChars="0"/>
      </w:pPr>
      <w:r>
        <w:rPr>
          <w:rFonts w:hint="eastAsia"/>
        </w:rPr>
        <w:tab/>
      </w:r>
      <m:oMath>
        <m:r>
          <m:rPr>
            <m:sty m:val="p"/>
          </m:rPr>
          <w:rPr>
            <w:rFonts w:hint="eastAsia"/>
          </w:rPr>
          <m:t>Specificity=</m:t>
        </m:r>
        <m:f>
          <m:fPr>
            <m:ctrlPr>
              <w:rPr>
                <w:rFonts w:hint="eastAsia" w:ascii="Cambria Math" w:hAnsi="Cambria Math"/>
              </w:rPr>
            </m:ctrlPr>
          </m:fPr>
          <m:num>
            <m:r>
              <m:rPr>
                <m:sty m:val="p"/>
              </m:rPr>
              <w:rPr>
                <w:rFonts w:hint="eastAsia"/>
              </w:rPr>
              <m:t>TN</m:t>
            </m:r>
            <m:ctrlPr>
              <w:rPr>
                <w:rFonts w:hint="eastAsia" w:ascii="Cambria Math" w:hAnsi="Cambria Math"/>
              </w:rPr>
            </m:ctrlPr>
          </m:num>
          <m:den>
            <m:r>
              <m:rPr>
                <m:sty m:val="p"/>
              </m:rPr>
              <w:rPr>
                <w:rFonts w:hint="eastAsia"/>
              </w:rPr>
              <m:t>TN+FP</m:t>
            </m:r>
            <m:ctrlPr>
              <w:rPr>
                <w:rFonts w:hint="eastAsia" w:ascii="Cambria Math" w:hAnsi="Cambria Math"/>
              </w:rPr>
            </m:ctrlPr>
          </m:den>
        </m:f>
      </m:oMath>
      <w:r>
        <w:rPr>
          <w:rFonts w:hint="eastAsia"/>
        </w:rPr>
        <w:tab/>
      </w:r>
      <w:r>
        <w:rPr>
          <w:rFonts w:hint="eastAsia"/>
        </w:rPr>
        <w:t>（8）</w:t>
      </w:r>
    </w:p>
    <w:p w14:paraId="6A2AF7EE">
      <w:pPr>
        <w:tabs>
          <w:tab w:val="left" w:pos="2940"/>
          <w:tab w:val="left" w:pos="7560"/>
        </w:tabs>
        <w:spacing w:line="240" w:lineRule="auto"/>
        <w:ind w:firstLine="0" w:firstLineChars="0"/>
      </w:pPr>
      <w:r>
        <w:rPr>
          <w:rFonts w:hint="eastAsia"/>
        </w:rPr>
        <w:tab/>
      </w:r>
      <m:oMath>
        <m:r>
          <m:rPr>
            <m:sty m:val="p"/>
          </m:rPr>
          <w:rPr>
            <w:rFonts w:hint="eastAsia"/>
          </w:rPr>
          <m:t>Precision=</m:t>
        </m:r>
        <m:f>
          <m:fPr>
            <m:ctrlPr>
              <w:rPr>
                <w:rFonts w:hint="eastAsia" w:ascii="Cambria Math" w:hAnsi="Cambria Math"/>
              </w:rPr>
            </m:ctrlPr>
          </m:fPr>
          <m:num>
            <m:r>
              <m:rPr>
                <m:sty m:val="p"/>
              </m:rPr>
              <w:rPr>
                <w:rFonts w:hint="eastAsia"/>
              </w:rPr>
              <m:t>TP</m:t>
            </m:r>
            <m:ctrlPr>
              <w:rPr>
                <w:rFonts w:hint="eastAsia" w:ascii="Cambria Math" w:hAnsi="Cambria Math"/>
              </w:rPr>
            </m:ctrlPr>
          </m:num>
          <m:den>
            <m:r>
              <m:rPr>
                <m:sty m:val="p"/>
              </m:rPr>
              <w:rPr>
                <w:rFonts w:hint="eastAsia"/>
              </w:rPr>
              <m:t>TP+FP</m:t>
            </m:r>
            <m:ctrlPr>
              <w:rPr>
                <w:rFonts w:hint="eastAsia" w:ascii="Cambria Math" w:hAnsi="Cambria Math"/>
              </w:rPr>
            </m:ctrlPr>
          </m:den>
        </m:f>
      </m:oMath>
      <w:r>
        <w:rPr>
          <w:rFonts w:hint="eastAsia"/>
        </w:rPr>
        <w:tab/>
      </w:r>
      <w:r>
        <w:rPr>
          <w:rFonts w:hint="eastAsia"/>
        </w:rPr>
        <w:t>（9）</w:t>
      </w:r>
    </w:p>
    <w:p w14:paraId="0D76661E">
      <w:pPr>
        <w:tabs>
          <w:tab w:val="left" w:pos="2940"/>
          <w:tab w:val="left" w:pos="7560"/>
        </w:tabs>
        <w:spacing w:line="240" w:lineRule="auto"/>
        <w:ind w:firstLine="0" w:firstLineChars="0"/>
      </w:pPr>
      <w:r>
        <w:rPr>
          <w:rFonts w:hint="eastAsia"/>
        </w:rPr>
        <w:tab/>
      </w:r>
      <m:oMath>
        <m:r>
          <m:rPr>
            <m:sty m:val="p"/>
          </m:rPr>
          <w:rPr>
            <w:rFonts w:hint="eastAsia"/>
          </w:rPr>
          <m:t>F1=</m:t>
        </m:r>
        <m:f>
          <m:fPr>
            <m:ctrlPr>
              <w:rPr>
                <w:rFonts w:hint="eastAsia" w:ascii="Cambria Math" w:hAnsi="Cambria Math"/>
              </w:rPr>
            </m:ctrlPr>
          </m:fPr>
          <m:num>
            <m:r>
              <m:rPr>
                <m:sty m:val="p"/>
              </m:rPr>
              <w:rPr>
                <w:rFonts w:hint="eastAsia"/>
              </w:rPr>
              <m:t>2×Precision×Sensitivity</m:t>
            </m:r>
            <m:ctrlPr>
              <w:rPr>
                <w:rFonts w:hint="eastAsia" w:ascii="Cambria Math" w:hAnsi="Cambria Math"/>
              </w:rPr>
            </m:ctrlPr>
          </m:num>
          <m:den>
            <m:r>
              <m:rPr>
                <m:sty m:val="p"/>
              </m:rPr>
              <w:rPr>
                <w:rFonts w:hint="eastAsia"/>
              </w:rPr>
              <m:t>Precision+Sensitivity</m:t>
            </m:r>
            <m:ctrlPr>
              <w:rPr>
                <w:rFonts w:hint="eastAsia" w:ascii="Cambria Math" w:hAnsi="Cambria Math"/>
              </w:rPr>
            </m:ctrlPr>
          </m:den>
        </m:f>
      </m:oMath>
      <w:r>
        <w:rPr>
          <w:rFonts w:hint="eastAsia"/>
        </w:rPr>
        <w:tab/>
      </w:r>
      <w:r>
        <w:rPr>
          <w:rFonts w:hint="eastAsia"/>
        </w:rPr>
        <w:t>（10）</w:t>
      </w:r>
    </w:p>
    <w:p w14:paraId="12383BA8">
      <w:pPr>
        <w:pStyle w:val="8"/>
        <w:spacing w:before="0"/>
        <w:rPr>
          <w:rFonts w:eastAsia="宋体"/>
        </w:rPr>
      </w:pPr>
      <w:r>
        <w:rPr>
          <w:rFonts w:hint="eastAsia" w:eastAsia="宋体"/>
        </w:rPr>
        <w:t>其中，</w:t>
      </w:r>
      <m:oMath>
        <m:r>
          <m:rPr>
            <m:sty m:val="p"/>
          </m:rPr>
          <w:rPr>
            <w:rFonts w:hint="eastAsia" w:eastAsia="宋体"/>
          </w:rPr>
          <m:t>TP</m:t>
        </m:r>
      </m:oMath>
      <w:r>
        <w:rPr>
          <w:rFonts w:hint="eastAsia" w:eastAsia="宋体"/>
        </w:rPr>
        <w:t>表示真正例，</w:t>
      </w:r>
      <m:oMath>
        <m:r>
          <m:rPr>
            <m:sty m:val="p"/>
          </m:rPr>
          <w:rPr>
            <w:rFonts w:hint="eastAsia" w:eastAsia="宋体"/>
          </w:rPr>
          <m:t>TN</m:t>
        </m:r>
      </m:oMath>
      <w:r>
        <w:rPr>
          <w:rFonts w:hint="eastAsia" w:eastAsia="宋体"/>
        </w:rPr>
        <w:t>表示真负例，</w:t>
      </w:r>
      <m:oMath>
        <m:r>
          <m:rPr>
            <m:sty m:val="p"/>
          </m:rPr>
          <w:rPr>
            <w:rFonts w:hint="eastAsia" w:eastAsia="宋体"/>
          </w:rPr>
          <m:t>FP</m:t>
        </m:r>
      </m:oMath>
      <w:r>
        <w:rPr>
          <w:rFonts w:hint="eastAsia" w:eastAsia="宋体"/>
        </w:rPr>
        <w:t>表示假正例，</w:t>
      </w:r>
      <m:oMath>
        <m:r>
          <m:rPr>
            <m:sty m:val="p"/>
          </m:rPr>
          <w:rPr>
            <w:rFonts w:hint="eastAsia" w:eastAsia="宋体"/>
          </w:rPr>
          <m:t>FN</m:t>
        </m:r>
      </m:oMath>
      <w:r>
        <w:rPr>
          <w:rFonts w:hint="eastAsia" w:eastAsia="宋体"/>
        </w:rPr>
        <w:t>表示假负例。对于风险识别任务，漏判高风险患者可能造成更严重后果，因此灵敏度和召回率是重点关注指标。</w:t>
      </w:r>
    </w:p>
    <w:p w14:paraId="12555CB3">
      <w:pPr>
        <w:pStyle w:val="8"/>
        <w:spacing w:before="0"/>
        <w:rPr>
          <w:rFonts w:eastAsia="宋体"/>
        </w:rPr>
      </w:pPr>
      <w:r>
        <w:rPr>
          <w:rFonts w:eastAsia="宋体"/>
        </w:rPr>
        <w:t>②</w:t>
      </w:r>
      <w:r>
        <w:rPr>
          <w:rFonts w:hint="eastAsia" w:eastAsia="宋体"/>
        </w:rPr>
        <w:t>S</w:t>
      </w:r>
      <w:r>
        <w:rPr>
          <w:rFonts w:eastAsia="宋体"/>
        </w:rPr>
        <w:t>HAP</w:t>
      </w:r>
      <w:r>
        <w:rPr>
          <w:rFonts w:hint="eastAsia" w:eastAsia="宋体"/>
        </w:rPr>
        <w:t>评价指标</w:t>
      </w:r>
    </w:p>
    <w:p w14:paraId="6FD1E922">
      <w:pPr>
        <w:pStyle w:val="8"/>
        <w:spacing w:before="0"/>
        <w:rPr>
          <w:rFonts w:eastAsia="宋体"/>
        </w:rPr>
      </w:pPr>
      <w:r>
        <w:rPr>
          <w:rFonts w:eastAsia="宋体"/>
        </w:rPr>
        <w:t>该方法基于博弈论中的沙普利值为每个特征分配统一的贡献值</w:t>
      </w:r>
      <w:r>
        <w:rPr>
          <w:rFonts w:hint="eastAsia" w:eastAsia="宋体"/>
        </w:rPr>
        <w:t>，</w:t>
      </w:r>
      <w:r>
        <w:rPr>
          <w:rFonts w:eastAsia="宋体"/>
        </w:rPr>
        <w:t>量化特征对预测结果的影响方向与强度。其核心公式为：</w:t>
      </w:r>
    </w:p>
    <w:p w14:paraId="62E9C0B3">
      <w:pPr>
        <w:tabs>
          <w:tab w:val="left" w:pos="1470"/>
          <w:tab w:val="left" w:pos="2940"/>
          <w:tab w:val="left" w:pos="7245"/>
        </w:tabs>
        <w:spacing w:line="240" w:lineRule="auto"/>
        <w:ind w:firstLine="0" w:firstLineChars="0"/>
      </w:pPr>
      <w:r>
        <w:rPr>
          <w:rFonts w:hint="eastAsia"/>
        </w:rPr>
        <w:tab/>
      </w:r>
      <m:oMath>
        <m:sSub>
          <m:sSubPr>
            <m:ctrlPr>
              <w:rPr>
                <w:rFonts w:hint="eastAsia" w:ascii="Cambria Math" w:hAnsi="Cambria Math"/>
              </w:rPr>
            </m:ctrlPr>
          </m:sSubPr>
          <m:e>
            <m:r>
              <m:rPr>
                <m:sty m:val="p"/>
              </m:rPr>
              <w:rPr>
                <w:rFonts w:hint="eastAsia"/>
              </w:rPr>
              <m:t>ϕ</m:t>
            </m:r>
            <m:ctrlPr>
              <w:rPr>
                <w:rFonts w:hint="eastAsia" w:ascii="Cambria Math" w:hAnsi="Cambria Math"/>
              </w:rPr>
            </m:ctrlPr>
          </m:e>
          <m:sub>
            <m:r>
              <m:rPr>
                <m:sty m:val="p"/>
              </m:rPr>
              <w:rPr>
                <w:rFonts w:hint="eastAsia"/>
              </w:rPr>
              <m:t>i</m:t>
            </m:r>
            <m:ctrlPr>
              <w:rPr>
                <w:rFonts w:hint="eastAsia" w:ascii="Cambria Math" w:hAnsi="Cambria Math"/>
              </w:rPr>
            </m:ctrlPr>
          </m:sub>
        </m:sSub>
        <m:r>
          <m:rPr>
            <m:sty m:val="p"/>
          </m:rPr>
          <w:rPr>
            <w:rFonts w:hint="eastAsia"/>
          </w:rPr>
          <m:t>=</m:t>
        </m:r>
        <m:nary>
          <m:naryPr>
            <m:chr m:val="∑"/>
            <m:limLoc m:val="subSup"/>
            <m:supHide m:val="1"/>
            <m:ctrlPr>
              <w:rPr>
                <w:rFonts w:hint="eastAsia" w:ascii="Cambria Math" w:hAnsi="Cambria Math"/>
              </w:rPr>
            </m:ctrlPr>
          </m:naryPr>
          <m:sub>
            <m:r>
              <m:rPr>
                <m:sty m:val="p"/>
              </m:rPr>
              <w:rPr>
                <w:rFonts w:hint="eastAsia"/>
              </w:rPr>
              <m:t>S⊆N\{i}</m:t>
            </m:r>
            <m:ctrlPr>
              <w:rPr>
                <w:rFonts w:hint="eastAsia" w:ascii="Cambria Math" w:hAnsi="Cambria Math"/>
              </w:rPr>
            </m:ctrlPr>
          </m:sub>
          <m:sup>
            <m:ctrlPr>
              <w:rPr>
                <w:rFonts w:hint="eastAsia" w:ascii="Cambria Math" w:hAnsi="Cambria Math"/>
              </w:rPr>
            </m:ctrlPr>
          </m:sup>
          <m:e>
            <m:f>
              <m:fPr>
                <m:ctrlPr>
                  <w:rPr>
                    <w:rFonts w:hint="eastAsia" w:ascii="Cambria Math" w:hAnsi="Cambria Math"/>
                  </w:rPr>
                </m:ctrlPr>
              </m:fPr>
              <m:num>
                <m:r>
                  <m:rPr>
                    <m:sty m:val="p"/>
                  </m:rPr>
                  <w:rPr>
                    <w:rFonts w:hint="eastAsia"/>
                  </w:rPr>
                  <m:t>|S|!(|N|−|S|−1)!</m:t>
                </m:r>
                <m:ctrlPr>
                  <w:rPr>
                    <w:rFonts w:hint="eastAsia" w:ascii="Cambria Math" w:hAnsi="Cambria Math"/>
                  </w:rPr>
                </m:ctrlPr>
              </m:num>
              <m:den>
                <m:r>
                  <m:rPr>
                    <m:sty m:val="p"/>
                  </m:rPr>
                  <w:rPr>
                    <w:rFonts w:hint="eastAsia"/>
                  </w:rPr>
                  <m:t>|N|!</m:t>
                </m:r>
                <m:ctrlPr>
                  <w:rPr>
                    <w:rFonts w:hint="eastAsia" w:ascii="Cambria Math" w:hAnsi="Cambria Math"/>
                  </w:rPr>
                </m:ctrlPr>
              </m:den>
            </m:f>
            <m:ctrlPr>
              <w:rPr>
                <w:rFonts w:hint="eastAsia" w:ascii="Cambria Math" w:hAnsi="Cambria Math"/>
              </w:rPr>
            </m:ctrlPr>
          </m:e>
        </m:nary>
        <m:d>
          <m:dPr>
            <m:begChr m:val="["/>
            <m:endChr m:val="]"/>
            <m:ctrlPr>
              <w:rPr>
                <w:rFonts w:hint="eastAsia" w:ascii="Cambria Math" w:hAnsi="Cambria Math"/>
              </w:rPr>
            </m:ctrlPr>
          </m:dPr>
          <m:e>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S∪{i}</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x</m:t>
                </m:r>
                <m:ctrlPr>
                  <w:rPr>
                    <w:rFonts w:hint="eastAsia" w:ascii="Cambria Math" w:hAnsi="Cambria Math"/>
                  </w:rPr>
                </m:ctrlPr>
              </m:e>
              <m:sub>
                <m:r>
                  <m:rPr>
                    <m:sty m:val="p"/>
                  </m:rPr>
                  <w:rPr>
                    <w:rFonts w:hint="eastAsia"/>
                  </w:rPr>
                  <m:t>S∪{i}</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f</m:t>
                </m:r>
                <m:ctrlPr>
                  <w:rPr>
                    <w:rFonts w:hint="eastAsia" w:ascii="Cambria Math" w:hAnsi="Cambria Math"/>
                  </w:rPr>
                </m:ctrlPr>
              </m:e>
              <m:sub>
                <m:r>
                  <m:rPr>
                    <m:sty m:val="p"/>
                  </m:rPr>
                  <w:rPr>
                    <w:rFonts w:hint="eastAsia"/>
                  </w:rPr>
                  <m:t>S</m:t>
                </m:r>
                <m:ctrlPr>
                  <w:rPr>
                    <w:rFonts w:hint="eastAsia" w:ascii="Cambria Math" w:hAnsi="Cambria Math"/>
                  </w:rPr>
                </m:ctrlPr>
              </m:sub>
            </m:sSub>
            <m:r>
              <m:rPr>
                <m:sty m:val="p"/>
              </m:rPr>
              <w:rPr>
                <w:rFonts w:hint="eastAsia"/>
              </w:rPr>
              <m:t>(</m:t>
            </m:r>
            <m:sSub>
              <m:sSubPr>
                <m:ctrlPr>
                  <w:rPr>
                    <w:rFonts w:hint="eastAsia" w:ascii="Cambria Math" w:hAnsi="Cambria Math"/>
                  </w:rPr>
                </m:ctrlPr>
              </m:sSubPr>
              <m:e>
                <m:r>
                  <m:rPr>
                    <m:sty m:val="p"/>
                  </m:rPr>
                  <w:rPr>
                    <w:rFonts w:hint="eastAsia"/>
                  </w:rPr>
                  <m:t>x</m:t>
                </m:r>
                <m:ctrlPr>
                  <w:rPr>
                    <w:rFonts w:hint="eastAsia" w:ascii="Cambria Math" w:hAnsi="Cambria Math"/>
                  </w:rPr>
                </m:ctrlPr>
              </m:e>
              <m:sub>
                <m:r>
                  <m:rPr>
                    <m:sty m:val="p"/>
                  </m:rPr>
                  <w:rPr>
                    <w:rFonts w:hint="eastAsia"/>
                  </w:rPr>
                  <m:t>S</m:t>
                </m:r>
                <m:ctrlPr>
                  <w:rPr>
                    <w:rFonts w:hint="eastAsia" w:ascii="Cambria Math" w:hAnsi="Cambria Math"/>
                  </w:rPr>
                </m:ctrlPr>
              </m:sub>
            </m:sSub>
            <m:r>
              <m:rPr>
                <m:sty m:val="p"/>
              </m:rPr>
              <w:rPr>
                <w:rFonts w:hint="eastAsia"/>
              </w:rPr>
              <m:t>)</m:t>
            </m:r>
            <m:ctrlPr>
              <w:rPr>
                <w:rFonts w:hint="eastAsia" w:ascii="Cambria Math" w:hAnsi="Cambria Math"/>
              </w:rPr>
            </m:ctrlPr>
          </m:e>
        </m:d>
      </m:oMath>
      <w:r>
        <w:rPr>
          <w:rFonts w:hint="eastAsia"/>
        </w:rPr>
        <w:tab/>
      </w:r>
      <w:r>
        <w:rPr>
          <w:rFonts w:hint="eastAsia"/>
        </w:rPr>
        <w:tab/>
      </w:r>
      <w:r>
        <w:rPr>
          <w:rFonts w:hint="eastAsia"/>
        </w:rPr>
        <w:t>（11）</w:t>
      </w:r>
    </w:p>
    <w:p w14:paraId="3C927CE7">
      <w:pPr>
        <w:pStyle w:val="8"/>
        <w:spacing w:before="0"/>
        <w:rPr>
          <w:rFonts w:eastAsia="宋体"/>
        </w:rPr>
      </w:pPr>
      <w:r>
        <w:rPr>
          <w:rFonts w:eastAsia="宋体"/>
        </w:rPr>
        <w:t>模型的预测结果可分解为基准值与所有特征贡献值的加性组合：</w:t>
      </w:r>
    </w:p>
    <w:p w14:paraId="5ACE76A5">
      <w:pPr>
        <w:tabs>
          <w:tab w:val="left" w:pos="2940"/>
          <w:tab w:val="left" w:pos="7560"/>
        </w:tabs>
        <w:spacing w:line="240" w:lineRule="auto"/>
        <w:ind w:firstLine="0" w:firstLineChars="0"/>
      </w:pPr>
      <w:r>
        <w:rPr>
          <w:rFonts w:hint="eastAsia"/>
        </w:rPr>
        <w:tab/>
      </w:r>
      <m:oMath>
        <m:r>
          <m:rPr>
            <m:sty m:val="p"/>
          </m:rPr>
          <w:rPr>
            <w:rFonts w:hint="eastAsia"/>
          </w:rPr>
          <m:t>f(x)=</m:t>
        </m:r>
        <m:sSub>
          <m:sSubPr>
            <m:ctrlPr>
              <w:rPr>
                <w:rFonts w:hint="eastAsia" w:ascii="Cambria Math" w:hAnsi="Cambria Math"/>
              </w:rPr>
            </m:ctrlPr>
          </m:sSubPr>
          <m:e>
            <m:r>
              <m:rPr>
                <m:sty m:val="p"/>
              </m:rPr>
              <w:rPr>
                <w:rFonts w:hint="eastAsia"/>
              </w:rPr>
              <m:t>ϕ</m:t>
            </m:r>
            <m:ctrlPr>
              <w:rPr>
                <w:rFonts w:hint="eastAsia" w:ascii="Cambria Math" w:hAnsi="Cambria Math"/>
              </w:rPr>
            </m:ctrlPr>
          </m:e>
          <m:sub>
            <m:r>
              <m:rPr>
                <m:sty m:val="p"/>
              </m:rPr>
              <w:rPr>
                <w:rFonts w:hint="eastAsia"/>
              </w:rPr>
              <m:t>0</m:t>
            </m:r>
            <m:ctrlPr>
              <w:rPr>
                <w:rFonts w:hint="eastAsia" w:ascii="Cambria Math" w:hAnsi="Cambria Math"/>
              </w:rPr>
            </m:ctrlPr>
          </m:sub>
        </m:sSub>
        <m:r>
          <m:rPr>
            <m:sty m:val="p"/>
          </m:rPr>
          <w:rPr>
            <w:rFonts w:hint="eastAsia"/>
          </w:rPr>
          <m:t>+</m:t>
        </m:r>
        <m:nary>
          <m:naryPr>
            <m:chr m:val="∑"/>
            <m:limLoc m:val="subSup"/>
            <m:ctrlPr>
              <w:rPr>
                <w:rFonts w:hint="eastAsia" w:ascii="Cambria Math" w:hAnsi="Cambria Math"/>
              </w:rPr>
            </m:ctrlPr>
          </m:naryPr>
          <m:sub>
            <m:r>
              <m:rPr>
                <m:sty m:val="p"/>
              </m:rPr>
              <w:rPr>
                <w:rFonts w:hint="eastAsia"/>
              </w:rPr>
              <m:t>i=1</m:t>
            </m:r>
            <m:ctrlPr>
              <w:rPr>
                <w:rFonts w:hint="eastAsia" w:ascii="Cambria Math" w:hAnsi="Cambria Math"/>
              </w:rPr>
            </m:ctrlPr>
          </m:sub>
          <m:sup>
            <m:r>
              <m:rPr>
                <m:sty m:val="p"/>
              </m:rPr>
              <w:rPr>
                <w:rFonts w:hint="eastAsia"/>
              </w:rPr>
              <m:t>M</m:t>
            </m:r>
            <m:ctrlPr>
              <w:rPr>
                <w:rFonts w:hint="eastAsia" w:ascii="Cambria Math" w:hAnsi="Cambria Math"/>
              </w:rPr>
            </m:ctrlPr>
          </m:sup>
          <m:e>
            <m:sSub>
              <m:sSubPr>
                <m:ctrlPr>
                  <w:rPr>
                    <w:rFonts w:hint="eastAsia" w:ascii="Cambria Math" w:hAnsi="Cambria Math"/>
                  </w:rPr>
                </m:ctrlPr>
              </m:sSubPr>
              <m:e>
                <m:r>
                  <m:rPr>
                    <m:sty m:val="p"/>
                  </m:rPr>
                  <w:rPr>
                    <w:rFonts w:hint="eastAsia"/>
                  </w:rPr>
                  <m:t>ϕ</m:t>
                </m:r>
                <m:ctrlPr>
                  <w:rPr>
                    <w:rFonts w:hint="eastAsia" w:ascii="Cambria Math" w:hAnsi="Cambria Math"/>
                  </w:rPr>
                </m:ctrlPr>
              </m:e>
              <m:sub>
                <m:r>
                  <m:rPr>
                    <m:sty m:val="p"/>
                  </m:rPr>
                  <w:rPr>
                    <w:rFonts w:hint="eastAsia"/>
                  </w:rPr>
                  <m:t>i</m:t>
                </m:r>
                <m:ctrlPr>
                  <w:rPr>
                    <w:rFonts w:hint="eastAsia" w:ascii="Cambria Math" w:hAnsi="Cambria Math"/>
                  </w:rPr>
                </m:ctrlPr>
              </m:sub>
            </m:sSub>
            <m:ctrlPr>
              <w:rPr>
                <w:rFonts w:hint="eastAsia" w:ascii="Cambria Math" w:hAnsi="Cambria Math"/>
              </w:rPr>
            </m:ctrlPr>
          </m:e>
        </m:nary>
      </m:oMath>
      <w:r>
        <w:rPr>
          <w:rFonts w:hint="eastAsia"/>
        </w:rPr>
        <w:tab/>
      </w:r>
      <w:r>
        <w:rPr>
          <w:rFonts w:hint="eastAsia"/>
        </w:rPr>
        <w:t>（12）</w:t>
      </w:r>
    </w:p>
    <w:p w14:paraId="3DAA71C8">
      <w:pPr>
        <w:pStyle w:val="8"/>
        <w:spacing w:before="0"/>
        <w:rPr>
          <w:rFonts w:eastAsia="宋体"/>
        </w:rPr>
      </w:pPr>
      <w:r>
        <w:rPr>
          <w:rFonts w:eastAsia="宋体"/>
        </w:rPr>
        <w:t>式中，</w:t>
      </w:r>
      <m:oMath>
        <m:sSub>
          <m:sSubPr>
            <m:ctrlPr>
              <w:rPr>
                <w:rFonts w:ascii="Cambria Math" w:hAnsi="Cambria Math" w:eastAsia="宋体"/>
              </w:rPr>
            </m:ctrlPr>
          </m:sSubPr>
          <m:e>
            <m:r>
              <m:rPr>
                <m:sty m:val="p"/>
              </m:rPr>
              <w:rPr>
                <w:rFonts w:eastAsia="宋体"/>
              </w:rPr>
              <m:t>ϕ</m:t>
            </m:r>
            <m:ctrlPr>
              <w:rPr>
                <w:rFonts w:hint="eastAsia" w:ascii="Cambria Math" w:hAnsi="Cambria Math" w:eastAsia="宋体"/>
              </w:rPr>
            </m:ctrlPr>
          </m:e>
          <m:sub>
            <m:r>
              <m:rPr>
                <m:sty m:val="p"/>
              </m:rPr>
              <w:rPr>
                <w:rFonts w:eastAsia="宋体"/>
              </w:rPr>
              <m:t>0</m:t>
            </m:r>
            <m:ctrlPr>
              <w:rPr>
                <w:rFonts w:hint="eastAsia" w:ascii="Cambria Math" w:hAnsi="Cambria Math" w:eastAsia="宋体"/>
              </w:rPr>
            </m:ctrlPr>
          </m:sub>
        </m:sSub>
      </m:oMath>
      <w:r>
        <w:rPr>
          <w:rFonts w:eastAsia="宋体"/>
        </w:rPr>
        <w:t>为训练样本的平均预测值，即所有特征缺失时的基准预测结果；</w:t>
      </w:r>
      <m:oMath>
        <m:sSub>
          <m:sSubPr>
            <m:ctrlPr>
              <w:rPr>
                <w:rFonts w:ascii="Cambria Math" w:hAnsi="Cambria Math" w:eastAsia="宋体"/>
              </w:rPr>
            </m:ctrlPr>
          </m:sSubPr>
          <m:e>
            <m:r>
              <m:rPr>
                <m:sty m:val="p"/>
              </m:rPr>
              <w:rPr>
                <w:rFonts w:eastAsia="宋体"/>
              </w:rPr>
              <m:t>ϕ</m:t>
            </m:r>
            <m:ctrlPr>
              <w:rPr>
                <w:rFonts w:hint="eastAsia" w:ascii="Cambria Math" w:hAnsi="Cambria Math" w:eastAsia="宋体"/>
              </w:rPr>
            </m:ctrlPr>
          </m:e>
          <m:sub>
            <m:r>
              <m:rPr>
                <m:sty m:val="p"/>
              </m:rPr>
              <w:rPr>
                <w:rFonts w:eastAsia="宋体"/>
              </w:rPr>
              <m:t>i</m:t>
            </m:r>
            <m:ctrlPr>
              <w:rPr>
                <w:rFonts w:hint="eastAsia" w:ascii="Cambria Math" w:hAnsi="Cambria Math" w:eastAsia="宋体"/>
              </w:rPr>
            </m:ctrlPr>
          </m:sub>
        </m:sSub>
      </m:oMath>
      <w:r>
        <w:rPr>
          <w:rFonts w:eastAsia="宋体"/>
        </w:rPr>
        <w:t>为第</w:t>
      </w:r>
      <w:r>
        <w:rPr>
          <w:rFonts w:hint="eastAsia" w:eastAsia="宋体"/>
        </w:rPr>
        <w:t>i</w:t>
      </w:r>
      <w:r>
        <w:rPr>
          <w:rFonts w:eastAsia="宋体"/>
        </w:rPr>
        <w:t>个特征的SHAP值，可明确心电高危表型、临床指标对住院患者短期死亡风险预测结果的贡献方向与强度，有效提升模型的临床可信度与可解释性。</w:t>
      </w:r>
    </w:p>
    <w:p w14:paraId="4EDBD754">
      <w:pPr>
        <w:pStyle w:val="2"/>
        <w:jc w:val="center"/>
        <w:sectPr>
          <w:pgSz w:w="11906" w:h="16838"/>
          <w:pgMar w:top="1440" w:right="1800" w:bottom="1440" w:left="1800" w:header="851" w:footer="992" w:gutter="0"/>
          <w:cols w:space="425" w:num="1"/>
          <w:docGrid w:type="lines" w:linePitch="312" w:charSpace="0"/>
        </w:sectPr>
      </w:pPr>
    </w:p>
    <w:p w14:paraId="62E08AE7">
      <w:pPr>
        <w:pStyle w:val="2"/>
        <w:spacing w:line="240" w:lineRule="auto"/>
        <w:jc w:val="center"/>
      </w:pPr>
      <w:bookmarkStart w:id="44" w:name="_Toc13646"/>
      <w:bookmarkStart w:id="45" w:name="_Toc1284"/>
      <m:oMathPara>
        <m:oMath>
          <m:r>
            <m:rPr>
              <m:sty m:val="p"/>
            </m:rPr>
            <w:rPr>
              <w:rFonts w:hint="eastAsia" w:ascii="Cambria Math" w:hAnsi="Cambria Math"/>
            </w:rPr>
            <m:t>三、多源数据处理</m:t>
          </m:r>
          <w:bookmarkEnd w:id="44"/>
          <w:bookmarkEnd w:id="45"/>
        </m:oMath>
      </m:oMathPara>
    </w:p>
    <w:p w14:paraId="5B3DB481">
      <w:pPr>
        <w:pStyle w:val="3"/>
        <w:ind w:firstLine="560"/>
      </w:pPr>
      <w:bookmarkStart w:id="46" w:name="_Toc1942"/>
      <w:bookmarkStart w:id="47" w:name="_Toc22159"/>
      <w:r>
        <w:rPr>
          <w:rFonts w:hint="eastAsia"/>
        </w:rPr>
        <w:t>（一）数据整合与对齐</w:t>
      </w:r>
      <w:bookmarkEnd w:id="46"/>
      <w:bookmarkEnd w:id="47"/>
    </w:p>
    <w:p w14:paraId="6942AAFA">
      <w:pPr>
        <w:ind w:firstLine="480"/>
      </w:pPr>
      <w:r>
        <w:t>本文基于MIMIC-IV临床数据库与MIMIC-IV-ECG心电数据库构建多源融合研究队列。MIMIC-IV包含患者人口学信息、住院记录、ICU停留记录、实验室检测及诊断编码等临床结构化数据；MIMIC-IV-ECG包含约80万条心电记录</w:t>
      </w:r>
      <w:r>
        <w:rPr>
          <w:rFonts w:hint="eastAsia"/>
        </w:rPr>
        <w:t>。</w:t>
      </w:r>
    </w:p>
    <w:p w14:paraId="3DA62B29">
      <w:pPr>
        <w:ind w:firstLine="480"/>
      </w:pPr>
      <w:r>
        <w:rPr>
          <w:rFonts w:hint="eastAsia"/>
        </w:rPr>
        <w:t>本文的数据预处理方案如图4所示。</w:t>
      </w:r>
    </w:p>
    <w:p w14:paraId="2AD2A4C7">
      <w:pPr>
        <w:spacing w:line="240" w:lineRule="auto"/>
        <w:ind w:firstLine="0" w:firstLineChars="0"/>
        <w:jc w:val="center"/>
      </w:pPr>
      <w:r>
        <w:rPr>
          <w:rFonts w:hint="eastAsia"/>
        </w:rPr>
        <w:drawing>
          <wp:inline distT="0" distB="0" distL="114300" distR="114300">
            <wp:extent cx="5044440" cy="6526530"/>
            <wp:effectExtent l="0" t="0" r="10160" b="1270"/>
            <wp:docPr id="2" name="图片 2" descr="3333(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333(1).drawio"/>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044440" cy="6526530"/>
                    </a:xfrm>
                    <a:prstGeom prst="rect">
                      <a:avLst/>
                    </a:prstGeom>
                  </pic:spPr>
                </pic:pic>
              </a:graphicData>
            </a:graphic>
          </wp:inline>
        </w:drawing>
      </w:r>
    </w:p>
    <w:p w14:paraId="6E083ACF">
      <w:pPr>
        <w:pStyle w:val="5"/>
        <w:spacing w:line="240" w:lineRule="auto"/>
        <w:ind w:firstLine="480"/>
      </w:pPr>
      <w:bookmarkStart w:id="48" w:name="_Toc21736"/>
      <w:r>
        <w:t>图</w:t>
      </w:r>
      <w:r>
        <w:fldChar w:fldCharType="begin"/>
      </w:r>
      <w:r>
        <w:instrText xml:space="preserve"> SEQ 图 \* ARABIC </w:instrText>
      </w:r>
      <w:r>
        <w:fldChar w:fldCharType="separate"/>
      </w:r>
      <w:r>
        <w:t>4</w:t>
      </w:r>
      <w:r>
        <w:fldChar w:fldCharType="end"/>
      </w:r>
      <w:bookmarkStart w:id="49" w:name="_Toc20257"/>
      <w:r>
        <w:rPr>
          <w:rFonts w:hint="eastAsia"/>
        </w:rPr>
        <w:t xml:space="preserve"> 数据处理与特征工程的核心流程</w:t>
      </w:r>
      <w:bookmarkEnd w:id="48"/>
      <w:bookmarkEnd w:id="49"/>
    </w:p>
    <w:p w14:paraId="4CC51335">
      <w:pPr>
        <w:ind w:firstLine="480"/>
      </w:pPr>
      <w:r>
        <w:t>首先</w:t>
      </w:r>
      <w:r>
        <w:rPr>
          <w:rFonts w:hint="eastAsia"/>
        </w:rPr>
        <w:t>进行数据融合</w:t>
      </w:r>
      <w:r>
        <w:t>，</w:t>
      </w:r>
      <w:r>
        <w:rPr>
          <w:rFonts w:hint="eastAsia"/>
        </w:rPr>
        <w:t>两个数据库</w:t>
      </w:r>
      <w:r>
        <w:t>通过subject_id关联患者人口学信息，通过hadm_id关联住院记录，获取每次住院的入出时间窗口。随后，以ECG采集时间，将其与住院记录进行时间窗匹配，</w:t>
      </w:r>
      <w:r>
        <w:rPr>
          <w:rFonts w:hint="eastAsia"/>
        </w:rPr>
        <w:t>数据集划分采用患者级别分组策略，确保同一患者的ECG记录不会同时出现在训练集、验证集与测试集中，以避免患者级信息泄露</w:t>
      </w:r>
      <w:r>
        <w:t>。此步骤排除门诊及院外ECG，</w:t>
      </w:r>
      <w:r>
        <w:rPr>
          <w:rFonts w:hint="eastAsia"/>
        </w:rPr>
        <w:t>通过病人病历筛选出心脏相关</w:t>
      </w:r>
      <w:r>
        <w:t>住院期间ECG</w:t>
      </w:r>
      <w:r>
        <w:rPr>
          <w:rFonts w:hint="eastAsia"/>
        </w:rPr>
        <w:t>共</w:t>
      </w:r>
      <w:r>
        <w:t>209,551条</w:t>
      </w:r>
      <w:r>
        <w:rPr>
          <w:rFonts w:hint="eastAsia"/>
        </w:rPr>
        <w:t>，猝死相关患者</w:t>
      </w:r>
      <w:r>
        <w:t>ECG</w:t>
      </w:r>
      <w:r>
        <w:rPr>
          <w:rFonts w:hint="eastAsia"/>
        </w:rPr>
        <w:t>约共20,375条。</w:t>
      </w:r>
    </w:p>
    <w:p w14:paraId="3F7EA368">
      <w:pPr>
        <w:ind w:firstLine="480"/>
      </w:pPr>
      <w:r>
        <w:t>进一步，关联ECG机器测量表获取PR间期、QRS时限、QT间期、QTc等结构化心电指标；</w:t>
      </w:r>
      <w:r>
        <w:rPr>
          <w:rFonts w:hint="eastAsia"/>
        </w:rPr>
        <w:t>关联实验室检测表获取ECG采集时间之前最近一次可获得的肌钙蛋白I、BNP、血钾等心血管相关化验指标；关联诊断编码表提取ECG采集时间之前已记录的心血管相关ICD编码。所有临床变量均严格限制为ECG采集时点之前病历系统中已可获得的信息</w:t>
      </w:r>
      <w:r>
        <w:t>。各表通过subject_id与hadm_id实现多源对齐，确保单条心电记录与对应临床病历精准匹配。数据筛选流程如表</w:t>
      </w:r>
      <w:r>
        <w:rPr>
          <w:rFonts w:hint="eastAsia"/>
        </w:rPr>
        <w:t>2</w:t>
      </w:r>
      <w:r>
        <w:t>所示。</w:t>
      </w:r>
    </w:p>
    <w:p w14:paraId="784FADBC">
      <w:pPr>
        <w:pStyle w:val="5"/>
        <w:ind w:firstLine="480"/>
      </w:pPr>
      <w:bookmarkStart w:id="50" w:name="_Toc30451"/>
      <w:r>
        <w:t>表</w:t>
      </w:r>
      <w:r>
        <w:fldChar w:fldCharType="begin"/>
      </w:r>
      <w:r>
        <w:instrText xml:space="preserve"> SEQ 表 \* ARABIC </w:instrText>
      </w:r>
      <w:r>
        <w:fldChar w:fldCharType="separate"/>
      </w:r>
      <w:r>
        <w:t>2</w:t>
      </w:r>
      <w:r>
        <w:fldChar w:fldCharType="end"/>
      </w:r>
      <w:bookmarkStart w:id="51" w:name="_Toc29840"/>
      <w:r>
        <w:rPr>
          <w:rFonts w:hint="eastAsia"/>
        </w:rPr>
        <w:t xml:space="preserve"> 数据筛选流程</w:t>
      </w:r>
      <w:bookmarkEnd w:id="50"/>
      <w:bookmarkEnd w:id="51"/>
    </w:p>
    <w:tbl>
      <w:tblPr>
        <w:tblStyle w:val="16"/>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88"/>
        <w:gridCol w:w="4556"/>
        <w:gridCol w:w="1575"/>
      </w:tblGrid>
      <w:tr w14:paraId="54BBA5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8" w:type="dxa"/>
            <w:tcBorders>
              <w:top w:val="single" w:color="000000" w:sz="12" w:space="0"/>
              <w:left w:val="nil"/>
              <w:bottom w:val="single" w:color="000000" w:sz="4" w:space="0"/>
              <w:right w:val="nil"/>
              <w:tl2br w:val="nil"/>
            </w:tcBorders>
            <w:shd w:val="clear" w:color="auto" w:fill="FFFFFF"/>
            <w:vAlign w:val="center"/>
          </w:tcPr>
          <w:p w14:paraId="23C9072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筛选步骤</w:t>
            </w:r>
          </w:p>
        </w:tc>
        <w:tc>
          <w:tcPr>
            <w:tcW w:w="4556" w:type="dxa"/>
            <w:tcBorders>
              <w:top w:val="single" w:color="000000" w:sz="12" w:space="0"/>
              <w:left w:val="nil"/>
              <w:bottom w:val="single" w:color="000000" w:sz="4" w:space="0"/>
              <w:right w:val="nil"/>
            </w:tcBorders>
            <w:shd w:val="clear" w:color="auto" w:fill="FFFFFF"/>
            <w:vAlign w:val="center"/>
          </w:tcPr>
          <w:p w14:paraId="72240E6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操作说明</w:t>
            </w:r>
          </w:p>
        </w:tc>
        <w:tc>
          <w:tcPr>
            <w:tcW w:w="1575" w:type="dxa"/>
            <w:tcBorders>
              <w:top w:val="single" w:color="000000" w:sz="12" w:space="0"/>
              <w:left w:val="nil"/>
              <w:bottom w:val="single" w:color="000000" w:sz="4" w:space="0"/>
              <w:right w:val="nil"/>
            </w:tcBorders>
            <w:shd w:val="clear" w:color="auto" w:fill="FFFFFF"/>
            <w:vAlign w:val="center"/>
          </w:tcPr>
          <w:p w14:paraId="6C4957D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样本量</w:t>
            </w:r>
          </w:p>
        </w:tc>
      </w:tr>
      <w:tr w14:paraId="03DA0D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8" w:type="dxa"/>
            <w:tcBorders>
              <w:top w:val="single" w:color="000000" w:sz="4" w:space="0"/>
            </w:tcBorders>
            <w:shd w:val="clear" w:color="auto" w:fill="FFFFFF"/>
            <w:vAlign w:val="center"/>
          </w:tcPr>
          <w:p w14:paraId="3DC71E9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原始ECG记录</w:t>
            </w:r>
          </w:p>
        </w:tc>
        <w:tc>
          <w:tcPr>
            <w:tcW w:w="4556" w:type="dxa"/>
            <w:tcBorders>
              <w:top w:val="single" w:color="000000" w:sz="4" w:space="0"/>
            </w:tcBorders>
            <w:shd w:val="clear" w:color="auto" w:fill="FFFFFF"/>
            <w:vAlign w:val="center"/>
          </w:tcPr>
          <w:p w14:paraId="1AED83B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MIMIC-IV-ECG全量心电记录</w:t>
            </w:r>
          </w:p>
        </w:tc>
        <w:tc>
          <w:tcPr>
            <w:tcW w:w="1575" w:type="dxa"/>
            <w:tcBorders>
              <w:top w:val="single" w:color="000000" w:sz="4" w:space="0"/>
            </w:tcBorders>
            <w:shd w:val="clear" w:color="auto" w:fill="FFFFFF"/>
            <w:vAlign w:val="center"/>
          </w:tcPr>
          <w:p w14:paraId="24E1C1F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832,100</w:t>
            </w:r>
          </w:p>
        </w:tc>
      </w:tr>
      <w:tr w14:paraId="46E6A1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8" w:type="dxa"/>
            <w:shd w:val="clear" w:color="auto" w:fill="FFFFFF"/>
            <w:vAlign w:val="center"/>
          </w:tcPr>
          <w:p w14:paraId="5F477DC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ECG-住院关联</w:t>
            </w:r>
          </w:p>
        </w:tc>
        <w:tc>
          <w:tcPr>
            <w:tcW w:w="4556" w:type="dxa"/>
            <w:shd w:val="clear" w:color="auto" w:fill="FFFFFF"/>
            <w:vAlign w:val="center"/>
          </w:tcPr>
          <w:p w14:paraId="54B0BF5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追溯住院时间窗，完成临床表与结局对齐</w:t>
            </w:r>
          </w:p>
        </w:tc>
        <w:tc>
          <w:tcPr>
            <w:tcW w:w="1575" w:type="dxa"/>
            <w:shd w:val="clear" w:color="auto" w:fill="FFFFFF"/>
            <w:vAlign w:val="center"/>
          </w:tcPr>
          <w:p w14:paraId="1BA93F1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553,212</w:t>
            </w:r>
          </w:p>
        </w:tc>
      </w:tr>
      <w:tr w14:paraId="652447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8" w:type="dxa"/>
            <w:shd w:val="clear" w:color="auto" w:fill="FFFFFF"/>
            <w:vAlign w:val="center"/>
          </w:tcPr>
          <w:p w14:paraId="18D87D1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心脏限定建模基表</w:t>
            </w:r>
          </w:p>
        </w:tc>
        <w:tc>
          <w:tcPr>
            <w:tcW w:w="4556" w:type="dxa"/>
            <w:shd w:val="clear" w:color="auto" w:fill="FFFFFF"/>
            <w:vAlign w:val="center"/>
          </w:tcPr>
          <w:p w14:paraId="4443F7F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筛选心脏相关患者</w:t>
            </w:r>
          </w:p>
        </w:tc>
        <w:tc>
          <w:tcPr>
            <w:tcW w:w="1575" w:type="dxa"/>
            <w:shd w:val="clear" w:color="auto" w:fill="FFFFFF"/>
            <w:vAlign w:val="center"/>
          </w:tcPr>
          <w:p w14:paraId="7E8C3D9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209,551</w:t>
            </w:r>
          </w:p>
        </w:tc>
      </w:tr>
      <w:tr w14:paraId="35DB23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8" w:type="dxa"/>
            <w:tcBorders>
              <w:top w:val="nil"/>
              <w:left w:val="nil"/>
              <w:bottom w:val="single" w:color="000000" w:sz="12" w:space="0"/>
              <w:right w:val="nil"/>
            </w:tcBorders>
            <w:shd w:val="clear" w:color="auto" w:fill="FFFFFF"/>
            <w:vAlign w:val="center"/>
          </w:tcPr>
          <w:p w14:paraId="3BDFFA3E">
            <w:pPr>
              <w:widowControl/>
              <w:spacing w:line="240" w:lineRule="auto"/>
              <w:ind w:firstLine="0" w:firstLineChars="0"/>
              <w:jc w:val="center"/>
              <w:rPr>
                <w:rFonts w:cs="Times New Roman"/>
                <w:color w:val="000000"/>
                <w:spacing w:val="4"/>
                <w:kern w:val="0"/>
              </w:rPr>
            </w:pPr>
            <w:bookmarkStart w:id="52" w:name="_Toc21471"/>
            <w:r>
              <w:rPr>
                <w:rFonts w:hint="eastAsia" w:cs="Times New Roman"/>
                <w:color w:val="000000"/>
                <w:spacing w:val="4"/>
                <w:kern w:val="0"/>
              </w:rPr>
              <w:t>猝死患者建模表</w:t>
            </w:r>
          </w:p>
        </w:tc>
        <w:tc>
          <w:tcPr>
            <w:tcW w:w="4556" w:type="dxa"/>
            <w:tcBorders>
              <w:top w:val="nil"/>
              <w:left w:val="nil"/>
              <w:bottom w:val="single" w:color="000000" w:sz="12" w:space="0"/>
              <w:right w:val="nil"/>
            </w:tcBorders>
            <w:shd w:val="clear" w:color="auto" w:fill="FFFFFF"/>
            <w:vAlign w:val="center"/>
          </w:tcPr>
          <w:p w14:paraId="1A8FF04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筛选猝死相关患者</w:t>
            </w:r>
          </w:p>
        </w:tc>
        <w:tc>
          <w:tcPr>
            <w:tcW w:w="1575" w:type="dxa"/>
            <w:tcBorders>
              <w:top w:val="nil"/>
              <w:left w:val="nil"/>
              <w:bottom w:val="single" w:color="000000" w:sz="12" w:space="0"/>
              <w:right w:val="nil"/>
            </w:tcBorders>
            <w:shd w:val="clear" w:color="auto" w:fill="FFFFFF"/>
            <w:vAlign w:val="center"/>
          </w:tcPr>
          <w:p w14:paraId="1F0249E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20,375</w:t>
            </w:r>
          </w:p>
        </w:tc>
      </w:tr>
    </w:tbl>
    <w:p w14:paraId="32F752FE">
      <w:pPr>
        <w:pStyle w:val="3"/>
        <w:ind w:firstLine="560"/>
      </w:pPr>
      <w:bookmarkStart w:id="53" w:name="_Toc17450"/>
      <w:r>
        <w:rPr>
          <w:rFonts w:hint="eastAsia"/>
        </w:rPr>
        <w:t>（二）特征工程与标签构建</w:t>
      </w:r>
      <w:bookmarkEnd w:id="52"/>
      <w:bookmarkEnd w:id="53"/>
    </w:p>
    <w:p w14:paraId="5537B6BC">
      <w:pPr>
        <w:ind w:firstLine="480"/>
      </w:pPr>
      <w:r>
        <w:t>在多源数据对齐基础上，</w:t>
      </w:r>
      <w:r>
        <w:rPr>
          <w:rFonts w:hint="eastAsia"/>
        </w:rPr>
        <w:t>进一步构建模型输入变量与结局标签，</w:t>
      </w:r>
      <w:r>
        <w:t>研究构建特征体系</w:t>
      </w:r>
      <w:r>
        <w:rPr>
          <w:rFonts w:hint="eastAsia"/>
        </w:rPr>
        <w:t>按照变量来源和临床含义构建人口统计学、ECG结构化、临床检验、诊断编码和诊疗过程五类特征。此外，所有数据标准化、缺失值插补及统计编码操作均仅在训练集拟合后应用于验证集与测试集，避免测试集信息反向泄露至模型训练阶段。各类变量的维度和代表字段见表3。</w:t>
      </w:r>
    </w:p>
    <w:p w14:paraId="556A29AE">
      <w:pPr>
        <w:pStyle w:val="5"/>
        <w:ind w:firstLine="480"/>
      </w:pPr>
      <w:bookmarkStart w:id="54" w:name="_Toc28332"/>
      <w:r>
        <w:t>表</w:t>
      </w:r>
      <w:r>
        <w:fldChar w:fldCharType="begin"/>
      </w:r>
      <w:r>
        <w:instrText xml:space="preserve"> SEQ 表 \* ARABIC </w:instrText>
      </w:r>
      <w:r>
        <w:fldChar w:fldCharType="separate"/>
      </w:r>
      <w:r>
        <w:t>3</w:t>
      </w:r>
      <w:r>
        <w:fldChar w:fldCharType="end"/>
      </w:r>
      <w:bookmarkStart w:id="55" w:name="_Toc21497"/>
      <w:r>
        <w:rPr>
          <w:rFonts w:hint="eastAsia"/>
        </w:rPr>
        <w:t xml:space="preserve"> 特征变量维度分布</w:t>
      </w:r>
      <w:bookmarkEnd w:id="54"/>
      <w:bookmarkEnd w:id="55"/>
    </w:p>
    <w:tbl>
      <w:tblPr>
        <w:tblStyle w:val="16"/>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8"/>
        <w:gridCol w:w="854"/>
        <w:gridCol w:w="5347"/>
      </w:tblGrid>
      <w:tr w14:paraId="58E425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tcBorders>
              <w:top w:val="single" w:color="000000" w:sz="12" w:space="0"/>
              <w:left w:val="nil"/>
              <w:bottom w:val="single" w:color="000000" w:sz="4" w:space="0"/>
              <w:right w:val="nil"/>
              <w:tl2br w:val="nil"/>
            </w:tcBorders>
            <w:shd w:val="clear" w:color="auto" w:fill="FFFFFF"/>
          </w:tcPr>
          <w:p w14:paraId="64CDDAD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变量类别</w:t>
            </w:r>
          </w:p>
        </w:tc>
        <w:tc>
          <w:tcPr>
            <w:tcW w:w="501" w:type="pct"/>
            <w:tcBorders>
              <w:top w:val="single" w:color="000000" w:sz="12" w:space="0"/>
              <w:left w:val="nil"/>
              <w:bottom w:val="single" w:color="000000" w:sz="4" w:space="0"/>
              <w:right w:val="nil"/>
            </w:tcBorders>
            <w:shd w:val="clear" w:color="auto" w:fill="FFFFFF"/>
          </w:tcPr>
          <w:p w14:paraId="48505F4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维度</w:t>
            </w:r>
          </w:p>
        </w:tc>
        <w:tc>
          <w:tcPr>
            <w:tcW w:w="3137" w:type="pct"/>
            <w:tcBorders>
              <w:top w:val="single" w:color="000000" w:sz="12" w:space="0"/>
              <w:left w:val="nil"/>
              <w:bottom w:val="single" w:color="000000" w:sz="4" w:space="0"/>
              <w:right w:val="nil"/>
            </w:tcBorders>
            <w:shd w:val="clear" w:color="auto" w:fill="FFFFFF"/>
          </w:tcPr>
          <w:p w14:paraId="4E63774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代表变量</w:t>
            </w:r>
          </w:p>
        </w:tc>
      </w:tr>
      <w:tr w14:paraId="0C4E73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tcBorders>
              <w:top w:val="single" w:color="000000" w:sz="4" w:space="0"/>
            </w:tcBorders>
            <w:shd w:val="clear" w:color="auto" w:fill="FFFFFF"/>
          </w:tcPr>
          <w:p w14:paraId="4382747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人口统计学特征</w:t>
            </w:r>
          </w:p>
        </w:tc>
        <w:tc>
          <w:tcPr>
            <w:tcW w:w="501" w:type="pct"/>
            <w:tcBorders>
              <w:top w:val="single" w:color="000000" w:sz="4" w:space="0"/>
            </w:tcBorders>
            <w:shd w:val="clear" w:color="auto" w:fill="FFFFFF"/>
          </w:tcPr>
          <w:p w14:paraId="7EBB8B1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w:t>
            </w:r>
          </w:p>
        </w:tc>
        <w:tc>
          <w:tcPr>
            <w:tcW w:w="3137" w:type="pct"/>
            <w:tcBorders>
              <w:top w:val="single" w:color="000000" w:sz="4" w:space="0"/>
            </w:tcBorders>
            <w:shd w:val="clear" w:color="auto" w:fill="FFFFFF"/>
          </w:tcPr>
          <w:p w14:paraId="7BD3ED9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年龄、性别</w:t>
            </w:r>
          </w:p>
        </w:tc>
      </w:tr>
      <w:tr w14:paraId="378BB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shd w:val="clear" w:color="auto" w:fill="FFFFFF"/>
          </w:tcPr>
          <w:p w14:paraId="38B69CC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ECG结构化特征</w:t>
            </w:r>
          </w:p>
        </w:tc>
        <w:tc>
          <w:tcPr>
            <w:tcW w:w="501" w:type="pct"/>
            <w:shd w:val="clear" w:color="auto" w:fill="FFFFFF"/>
          </w:tcPr>
          <w:p w14:paraId="50A8C44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28</w:t>
            </w:r>
          </w:p>
        </w:tc>
        <w:tc>
          <w:tcPr>
            <w:tcW w:w="3137" w:type="pct"/>
            <w:shd w:val="clear" w:color="auto" w:fill="FFFFFF"/>
          </w:tcPr>
          <w:p w14:paraId="757F812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PR间期、QTc、房颤等</w:t>
            </w:r>
          </w:p>
        </w:tc>
      </w:tr>
      <w:tr w14:paraId="6EB55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shd w:val="clear" w:color="auto" w:fill="FFFFFF"/>
          </w:tcPr>
          <w:p w14:paraId="0736643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临床检验指标</w:t>
            </w:r>
          </w:p>
        </w:tc>
        <w:tc>
          <w:tcPr>
            <w:tcW w:w="501" w:type="pct"/>
            <w:shd w:val="clear" w:color="auto" w:fill="FFFFFF"/>
          </w:tcPr>
          <w:p w14:paraId="4CAF156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23</w:t>
            </w:r>
          </w:p>
        </w:tc>
        <w:tc>
          <w:tcPr>
            <w:tcW w:w="3137" w:type="pct"/>
            <w:shd w:val="clear" w:color="auto" w:fill="FFFFFF"/>
          </w:tcPr>
          <w:p w14:paraId="73D5DE1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肌钙蛋白、BNP、血钾等</w:t>
            </w:r>
          </w:p>
        </w:tc>
      </w:tr>
      <w:tr w14:paraId="227A27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shd w:val="clear" w:color="auto" w:fill="FFFFFF"/>
          </w:tcPr>
          <w:p w14:paraId="3D372CE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疾病诊断编码</w:t>
            </w:r>
          </w:p>
        </w:tc>
        <w:tc>
          <w:tcPr>
            <w:tcW w:w="501" w:type="pct"/>
            <w:shd w:val="clear" w:color="auto" w:fill="FFFFFF"/>
          </w:tcPr>
          <w:p w14:paraId="08C2D2C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w:t>
            </w:r>
          </w:p>
        </w:tc>
        <w:tc>
          <w:tcPr>
            <w:tcW w:w="3137" w:type="pct"/>
            <w:shd w:val="clear" w:color="auto" w:fill="FFFFFF"/>
          </w:tcPr>
          <w:p w14:paraId="351C872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心力衰竭、心律失常等ICD编码</w:t>
            </w:r>
          </w:p>
        </w:tc>
      </w:tr>
      <w:tr w14:paraId="636FBA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0" w:type="pct"/>
            <w:tcBorders>
              <w:top w:val="nil"/>
              <w:left w:val="nil"/>
              <w:bottom w:val="single" w:color="000000" w:sz="12" w:space="0"/>
              <w:right w:val="nil"/>
            </w:tcBorders>
            <w:shd w:val="clear" w:color="auto" w:fill="FFFFFF"/>
          </w:tcPr>
          <w:p w14:paraId="434C4F7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诊疗时序信息</w:t>
            </w:r>
          </w:p>
        </w:tc>
        <w:tc>
          <w:tcPr>
            <w:tcW w:w="501" w:type="pct"/>
            <w:tcBorders>
              <w:top w:val="nil"/>
              <w:left w:val="nil"/>
              <w:bottom w:val="single" w:color="000000" w:sz="12" w:space="0"/>
              <w:right w:val="nil"/>
            </w:tcBorders>
            <w:shd w:val="clear" w:color="auto" w:fill="FFFFFF"/>
          </w:tcPr>
          <w:p w14:paraId="61929DF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17</w:t>
            </w:r>
          </w:p>
        </w:tc>
        <w:tc>
          <w:tcPr>
            <w:tcW w:w="3137" w:type="pct"/>
            <w:tcBorders>
              <w:top w:val="nil"/>
              <w:left w:val="nil"/>
              <w:bottom w:val="single" w:color="000000" w:sz="12" w:space="0"/>
              <w:right w:val="nil"/>
            </w:tcBorders>
            <w:shd w:val="clear" w:color="auto" w:fill="FFFFFF"/>
          </w:tcPr>
          <w:p w14:paraId="50C2FCF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住院时长、SOFA评分、ECG采集顺位等</w:t>
            </w:r>
          </w:p>
        </w:tc>
      </w:tr>
    </w:tbl>
    <w:p w14:paraId="50410CD0">
      <w:pPr>
        <w:ind w:firstLine="480"/>
      </w:pPr>
      <w:r>
        <w:t>结局标签围绕住院患者近期不良结局构建，主要包括院内死亡、ECG采集后7天内死亡、ECG采集后30天内死亡和综合高风险结局。其中，30天内死亡用于反映ECG检查后的短期全因死亡风险，综合高风险结局用于识别院内死亡、短期死亡及严重临床风险状态。上述标签用于表征近期临床不良结局风险，不直接等同于真实心源性猝死死因标签</w:t>
      </w:r>
      <w:r>
        <w:rPr>
          <w:rFonts w:hint="eastAsia"/>
        </w:rPr>
        <w:t>。</w:t>
      </w:r>
    </w:p>
    <w:p w14:paraId="6A957914">
      <w:pPr>
        <w:pStyle w:val="3"/>
        <w:ind w:firstLine="560"/>
      </w:pPr>
      <w:bookmarkStart w:id="56" w:name="_Toc16501"/>
      <w:bookmarkStart w:id="57" w:name="_Toc7996"/>
      <w:r>
        <w:rPr>
          <w:rFonts w:hint="eastAsia"/>
        </w:rPr>
        <w:t>（三）缺失值处理</w:t>
      </w:r>
      <w:bookmarkEnd w:id="56"/>
      <w:bookmarkEnd w:id="57"/>
    </w:p>
    <w:p w14:paraId="0352D53A">
      <w:pPr>
        <w:ind w:firstLine="480"/>
      </w:pPr>
      <w:r>
        <w:t>原始数据因临床采集漏项评分（仅ICU患者有记录）、ECG模型异常强度（仅经迁移推理的记录有值）、体检指标等、设备记录故障等原因存在不同程度缺失。结合各变量缺失率分布，采用三级分层处理策略，避免单一删除或填充带来的统计偏差</w:t>
      </w:r>
      <w:r>
        <w:rPr>
          <w:rFonts w:hint="eastAsia"/>
        </w:rPr>
        <w:t>，我们</w:t>
      </w:r>
      <w:r>
        <w:t>对缺失率≥80%的特征列直接删除</w:t>
      </w:r>
      <w:r>
        <w:rPr>
          <w:rFonts w:hint="eastAsia"/>
        </w:rPr>
        <w:t>。</w:t>
      </w:r>
      <w:r>
        <w:t>其次，对结构性缺失特征保留其缺失状态并添加缺失指示变量，使模型能够区分</w:t>
      </w:r>
      <w:r>
        <w:rPr>
          <w:rFonts w:hint="eastAsia"/>
        </w:rPr>
        <w:t>“</w:t>
      </w:r>
      <w:r>
        <w:t>真正低值</w:t>
      </w:r>
      <w:r>
        <w:rPr>
          <w:rFonts w:hint="eastAsia"/>
        </w:rPr>
        <w:t>”</w:t>
      </w:r>
      <w:r>
        <w:t>与</w:t>
      </w:r>
      <w:r>
        <w:rPr>
          <w:rFonts w:hint="eastAsia"/>
        </w:rPr>
        <w:t>“</w:t>
      </w:r>
      <w:r>
        <w:t>未测量</w:t>
      </w:r>
      <w:r>
        <w:rPr>
          <w:rFonts w:hint="eastAsia"/>
        </w:rPr>
        <w:t>”</w:t>
      </w:r>
      <w:r>
        <w:t>，同时以中位数填充数值位。对随机缺失的数值类特征，采用KNN算法进行插补</w:t>
      </w:r>
      <w:r>
        <w:rPr>
          <w:rFonts w:hint="eastAsia"/>
        </w:rPr>
        <w:t>。</w:t>
      </w:r>
    </w:p>
    <w:p w14:paraId="1BCAC732">
      <w:pPr>
        <w:ind w:firstLine="480"/>
      </w:pPr>
      <w:r>
        <w:t>首先，因其信息量不足以支撑有效征间相关性恢复合理取值。确保所有数值处于临床合理区间。缺失值分级处理策略如表</w:t>
      </w:r>
      <w:r>
        <w:rPr>
          <w:rFonts w:hint="eastAsia"/>
        </w:rPr>
        <w:t>4</w:t>
      </w:r>
      <w:r>
        <w:t>所示。</w:t>
      </w:r>
    </w:p>
    <w:p w14:paraId="4D489AB0">
      <w:pPr>
        <w:pStyle w:val="5"/>
        <w:ind w:firstLine="480"/>
      </w:pPr>
      <w:bookmarkStart w:id="58" w:name="_Toc6439"/>
      <w:r>
        <w:t>表</w:t>
      </w:r>
      <w:r>
        <w:fldChar w:fldCharType="begin"/>
      </w:r>
      <w:r>
        <w:instrText xml:space="preserve"> SEQ 表 \* ARABIC </w:instrText>
      </w:r>
      <w:r>
        <w:fldChar w:fldCharType="separate"/>
      </w:r>
      <w:r>
        <w:t>4</w:t>
      </w:r>
      <w:r>
        <w:fldChar w:fldCharType="end"/>
      </w:r>
      <w:bookmarkStart w:id="59" w:name="_Toc31299"/>
      <w:r>
        <w:rPr>
          <w:rFonts w:hint="eastAsia"/>
        </w:rPr>
        <w:t xml:space="preserve"> 缺失值分级处理策略</w:t>
      </w:r>
      <w:bookmarkEnd w:id="58"/>
      <w:bookmarkEnd w:id="59"/>
    </w:p>
    <w:tbl>
      <w:tblPr>
        <w:tblStyle w:val="1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5"/>
        <w:gridCol w:w="2270"/>
        <w:gridCol w:w="3547"/>
      </w:tblGrid>
      <w:tr w14:paraId="7FA075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tcBorders>
              <w:top w:val="single" w:color="000000" w:sz="12" w:space="0"/>
              <w:left w:val="nil"/>
              <w:bottom w:val="single" w:color="000000" w:sz="4" w:space="0"/>
              <w:right w:val="nil"/>
              <w:tl2br w:val="nil"/>
            </w:tcBorders>
            <w:shd w:val="clear" w:color="auto" w:fill="FFFFFF"/>
          </w:tcPr>
          <w:p w14:paraId="7563346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缺失机制</w:t>
            </w:r>
          </w:p>
        </w:tc>
        <w:tc>
          <w:tcPr>
            <w:tcW w:w="2270" w:type="dxa"/>
            <w:tcBorders>
              <w:top w:val="single" w:color="000000" w:sz="12" w:space="0"/>
              <w:left w:val="nil"/>
              <w:bottom w:val="single" w:color="000000" w:sz="4" w:space="0"/>
              <w:right w:val="nil"/>
            </w:tcBorders>
            <w:shd w:val="clear" w:color="auto" w:fill="FFFFFF"/>
          </w:tcPr>
          <w:p w14:paraId="79DDD41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处理策略</w:t>
            </w:r>
          </w:p>
        </w:tc>
        <w:tc>
          <w:tcPr>
            <w:tcW w:w="3547" w:type="dxa"/>
            <w:tcBorders>
              <w:top w:val="single" w:color="000000" w:sz="12" w:space="0"/>
              <w:left w:val="nil"/>
              <w:bottom w:val="single" w:color="000000" w:sz="4" w:space="0"/>
              <w:right w:val="nil"/>
            </w:tcBorders>
            <w:shd w:val="clear" w:color="auto" w:fill="FFFFFF"/>
          </w:tcPr>
          <w:p w14:paraId="4E1E689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代表变量</w:t>
            </w:r>
          </w:p>
        </w:tc>
      </w:tr>
      <w:tr w14:paraId="5F26F6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tcBorders>
              <w:top w:val="single" w:color="000000" w:sz="4" w:space="0"/>
            </w:tcBorders>
            <w:shd w:val="clear" w:color="auto" w:fill="FFFFFF"/>
          </w:tcPr>
          <w:p w14:paraId="49D2265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缺失率≥80%</w:t>
            </w:r>
          </w:p>
        </w:tc>
        <w:tc>
          <w:tcPr>
            <w:tcW w:w="2270" w:type="dxa"/>
            <w:tcBorders>
              <w:top w:val="single" w:color="000000" w:sz="4" w:space="0"/>
            </w:tcBorders>
            <w:shd w:val="clear" w:color="auto" w:fill="FFFFFF"/>
          </w:tcPr>
          <w:p w14:paraId="1E16689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直接删除列</w:t>
            </w:r>
          </w:p>
        </w:tc>
        <w:tc>
          <w:tcPr>
            <w:tcW w:w="3547" w:type="dxa"/>
            <w:tcBorders>
              <w:top w:val="single" w:color="000000" w:sz="4" w:space="0"/>
            </w:tcBorders>
            <w:shd w:val="clear" w:color="auto" w:fill="FFFFFF"/>
          </w:tcPr>
          <w:p w14:paraId="5CB6780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低信息量特征</w:t>
            </w:r>
          </w:p>
        </w:tc>
      </w:tr>
      <w:tr w14:paraId="4E7555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shd w:val="clear" w:color="auto" w:fill="FFFFFF"/>
          </w:tcPr>
          <w:p w14:paraId="74BE726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结构性缺失</w:t>
            </w:r>
          </w:p>
        </w:tc>
        <w:tc>
          <w:tcPr>
            <w:tcW w:w="2270" w:type="dxa"/>
            <w:shd w:val="clear" w:color="auto" w:fill="FFFFFF"/>
          </w:tcPr>
          <w:p w14:paraId="4937249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缺失指示变量+中位数填充</w:t>
            </w:r>
          </w:p>
        </w:tc>
        <w:tc>
          <w:tcPr>
            <w:tcW w:w="3547" w:type="dxa"/>
            <w:shd w:val="clear" w:color="auto" w:fill="FFFFFF"/>
          </w:tcPr>
          <w:p w14:paraId="6383B2F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SOFA相关字段、部分治疗记录</w:t>
            </w:r>
          </w:p>
        </w:tc>
      </w:tr>
      <w:tr w14:paraId="2B4446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shd w:val="clear" w:color="auto" w:fill="FFFFFF"/>
          </w:tcPr>
          <w:p w14:paraId="066733B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随机缺失</w:t>
            </w:r>
          </w:p>
        </w:tc>
        <w:tc>
          <w:tcPr>
            <w:tcW w:w="2270" w:type="dxa"/>
            <w:shd w:val="clear" w:color="auto" w:fill="FFFFFF"/>
          </w:tcPr>
          <w:p w14:paraId="4037B73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KNN插补</w:t>
            </w:r>
          </w:p>
        </w:tc>
        <w:tc>
          <w:tcPr>
            <w:tcW w:w="3547" w:type="dxa"/>
            <w:shd w:val="clear" w:color="auto" w:fill="FFFFFF"/>
          </w:tcPr>
          <w:p w14:paraId="347C9A9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肌钙蛋白、血钾等</w:t>
            </w:r>
          </w:p>
        </w:tc>
      </w:tr>
      <w:tr w14:paraId="76C947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5" w:type="dxa"/>
            <w:tcBorders>
              <w:top w:val="nil"/>
              <w:left w:val="nil"/>
              <w:bottom w:val="single" w:color="000000" w:sz="12" w:space="0"/>
              <w:right w:val="nil"/>
            </w:tcBorders>
            <w:shd w:val="clear" w:color="auto" w:fill="FFFFFF"/>
          </w:tcPr>
          <w:p w14:paraId="7551E26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物理边界异常值</w:t>
            </w:r>
          </w:p>
        </w:tc>
        <w:tc>
          <w:tcPr>
            <w:tcW w:w="2270" w:type="dxa"/>
            <w:tcBorders>
              <w:top w:val="nil"/>
              <w:left w:val="nil"/>
              <w:bottom w:val="single" w:color="000000" w:sz="12" w:space="0"/>
              <w:right w:val="nil"/>
            </w:tcBorders>
            <w:shd w:val="clear" w:color="auto" w:fill="FFFFFF"/>
          </w:tcPr>
          <w:p w14:paraId="6166BEC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截断/清除</w:t>
            </w:r>
          </w:p>
        </w:tc>
        <w:tc>
          <w:tcPr>
            <w:tcW w:w="3547" w:type="dxa"/>
            <w:tcBorders>
              <w:top w:val="nil"/>
              <w:left w:val="nil"/>
              <w:bottom w:val="single" w:color="000000" w:sz="12" w:space="0"/>
              <w:right w:val="nil"/>
            </w:tcBorders>
            <w:shd w:val="clear" w:color="auto" w:fill="FFFFFF"/>
          </w:tcPr>
          <w:p w14:paraId="3DB2288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MAP、心率等设备错误值</w:t>
            </w:r>
          </w:p>
        </w:tc>
      </w:tr>
    </w:tbl>
    <w:p w14:paraId="22D00ED2">
      <w:pPr>
        <w:ind w:firstLine="480"/>
      </w:pPr>
      <w:r>
        <w:t>经上述处理后，</w:t>
      </w:r>
      <w:r>
        <w:rPr>
          <w:rFonts w:hint="eastAsia"/>
        </w:rPr>
        <w:t>针对不同类别的字段采取不同的填充手段</w:t>
      </w:r>
      <w:r>
        <w:t>数据集完整性显著提升，主要数值均处于临床合理范围内，</w:t>
      </w:r>
      <w:r>
        <w:rPr>
          <w:rFonts w:hint="eastAsia"/>
        </w:rPr>
        <w:t>为</w:t>
      </w:r>
      <w:r>
        <w:t>后续分层建模与验证提供了高质量的数据基础。</w:t>
      </w:r>
    </w:p>
    <w:p w14:paraId="22D546B6">
      <w:pPr>
        <w:pStyle w:val="3"/>
        <w:ind w:firstLine="560"/>
      </w:pPr>
      <w:bookmarkStart w:id="60" w:name="_Toc4276"/>
      <w:bookmarkStart w:id="61" w:name="_Toc26605"/>
      <w:r>
        <w:rPr>
          <w:rFonts w:hint="eastAsia"/>
        </w:rPr>
        <w:t>（四）融合特征工程</w:t>
      </w:r>
      <w:bookmarkEnd w:id="60"/>
      <w:bookmarkEnd w:id="61"/>
    </w:p>
    <w:p w14:paraId="7436308C">
      <w:pPr>
        <w:ind w:firstLine="480"/>
      </w:pPr>
      <w:r>
        <w:rPr>
          <w:rFonts w:hint="eastAsia"/>
        </w:rPr>
        <w:t>为在众多特征中提高每个特征的利用率</w:t>
      </w:r>
      <w:r>
        <w:t>，</w:t>
      </w:r>
      <w:r>
        <w:rPr>
          <w:rFonts w:hint="eastAsia"/>
        </w:rPr>
        <w:t>我们</w:t>
      </w:r>
      <w:r>
        <w:t>通过显式构造临床生理学原理的复合变量</w:t>
      </w:r>
      <w:r>
        <w:rPr>
          <w:rFonts w:hint="eastAsia"/>
        </w:rPr>
        <w:t>来</w:t>
      </w:r>
      <w:r>
        <w:t>加速模型收敛、增强可解释性，</w:t>
      </w:r>
      <w:r>
        <w:rPr>
          <w:rFonts w:hint="eastAsia"/>
        </w:rPr>
        <w:t>提高模型精度，</w:t>
      </w:r>
      <w:r>
        <w:t>并使关键交互关系不被随机采样所遗漏。本研究共构造9个融合特征，分为两类：临床生理学原理的复合指标和基于临床</w:t>
      </w:r>
      <w:r>
        <w:rPr>
          <w:rFonts w:hint="eastAsia" w:ascii="宋体" w:hAnsi="宋体" w:eastAsia="宋体" w:cs="宋体"/>
        </w:rPr>
        <w:t>-</w:t>
      </w:r>
      <w:r>
        <w:t>心电交互的比率指标。</w:t>
      </w:r>
    </w:p>
    <w:p w14:paraId="4D3D6D79">
      <w:pPr>
        <w:ind w:firstLine="480"/>
      </w:pPr>
    </w:p>
    <w:p w14:paraId="5DF151E2">
      <w:pPr>
        <w:pStyle w:val="4"/>
        <w:ind w:firstLine="482"/>
        <w:rPr>
          <w:rFonts w:ascii="Times New Roman" w:hAnsi="Times New Roman"/>
        </w:rPr>
      </w:pPr>
      <w:r>
        <w:rPr>
          <w:rFonts w:ascii="Times New Roman" w:hAnsi="Times New Roman"/>
        </w:rPr>
        <w:t>1.基于临床生理学的复合指标</w:t>
      </w:r>
    </w:p>
    <w:p w14:paraId="0DDF4204">
      <w:pPr>
        <w:ind w:firstLine="480"/>
      </w:pPr>
      <w:r>
        <w:t>基于临床医学中广泛认可的生理学原理，本研究构造了5个复合指标</w:t>
      </w:r>
      <w:r>
        <w:rPr>
          <w:rFonts w:hint="eastAsia"/>
        </w:rPr>
        <w:t>如表5</w:t>
      </w:r>
      <w:r>
        <w:t>，每个指标均对应明确的临床病理机制。这些指标通过乘积或比率运算将多个维度的信息压缩为单一变量，使模型能够直接捕捉多指标协同恶化的风险信号。</w:t>
      </w:r>
    </w:p>
    <w:p w14:paraId="48F4510B">
      <w:pPr>
        <w:pStyle w:val="5"/>
        <w:ind w:firstLine="480"/>
      </w:pPr>
      <w:bookmarkStart w:id="62" w:name="_Toc8366"/>
      <w:r>
        <w:t>表</w:t>
      </w:r>
      <w:r>
        <w:fldChar w:fldCharType="begin"/>
      </w:r>
      <w:r>
        <w:instrText xml:space="preserve"> SEQ 表 \* ARABIC </w:instrText>
      </w:r>
      <w:r>
        <w:fldChar w:fldCharType="separate"/>
      </w:r>
      <w:r>
        <w:t>5</w:t>
      </w:r>
      <w:r>
        <w:fldChar w:fldCharType="end"/>
      </w:r>
      <w:bookmarkStart w:id="63" w:name="_Toc27596"/>
      <w:r>
        <w:rPr>
          <w:rFonts w:hint="eastAsia"/>
        </w:rPr>
        <w:t xml:space="preserve"> 基于临床生理学原理的融合特征</w:t>
      </w:r>
      <w:bookmarkEnd w:id="62"/>
      <w:bookmarkEnd w:id="63"/>
    </w:p>
    <w:tbl>
      <w:tblPr>
        <w:tblStyle w:val="16"/>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9"/>
        <w:gridCol w:w="2910"/>
        <w:gridCol w:w="3341"/>
      </w:tblGrid>
      <w:tr w14:paraId="1BDD8B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tcBorders>
              <w:bottom w:val="single" w:color="000000" w:sz="4" w:space="0"/>
              <w:tl2br w:val="nil"/>
            </w:tcBorders>
            <w:shd w:val="clear" w:color="auto" w:fill="FFFFFF"/>
          </w:tcPr>
          <w:p w14:paraId="5FD5F8A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特征名</w:t>
            </w:r>
          </w:p>
        </w:tc>
        <w:tc>
          <w:tcPr>
            <w:tcW w:w="1707" w:type="pct"/>
            <w:tcBorders>
              <w:bottom w:val="single" w:color="000000" w:sz="4" w:space="0"/>
            </w:tcBorders>
            <w:shd w:val="clear" w:color="auto" w:fill="FFFFFF"/>
          </w:tcPr>
          <w:p w14:paraId="2EB1CAF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构造公式</w:t>
            </w:r>
          </w:p>
        </w:tc>
        <w:tc>
          <w:tcPr>
            <w:tcW w:w="1960" w:type="pct"/>
            <w:tcBorders>
              <w:bottom w:val="single" w:color="000000" w:sz="4" w:space="0"/>
            </w:tcBorders>
            <w:shd w:val="clear" w:color="auto" w:fill="FFFFFF"/>
          </w:tcPr>
          <w:p w14:paraId="75C4D99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临床含义</w:t>
            </w:r>
          </w:p>
        </w:tc>
      </w:tr>
      <w:tr w14:paraId="45D7FF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tcBorders>
              <w:top w:val="single" w:color="000000" w:sz="4" w:space="0"/>
            </w:tcBorders>
            <w:shd w:val="clear" w:color="auto" w:fill="FFFFFF"/>
          </w:tcPr>
          <w:p w14:paraId="1D49AFDD">
            <w:pPr>
              <w:widowControl/>
              <w:spacing w:line="240" w:lineRule="auto"/>
              <w:ind w:firstLine="0" w:firstLineChars="0"/>
              <w:jc w:val="center"/>
              <w:rPr>
                <w:rFonts w:cs="Times New Roman"/>
                <w:color w:val="000000"/>
                <w:spacing w:val="4"/>
                <w:kern w:val="0"/>
              </w:rPr>
            </w:pPr>
            <w:r>
              <w:rPr>
                <w:rFonts w:cs="Times New Roman"/>
                <w:color w:val="000000"/>
                <w:spacing w:val="4"/>
                <w:kern w:val="0"/>
              </w:rPr>
              <w:t>临床生理复合指标</w:t>
            </w:r>
          </w:p>
        </w:tc>
        <w:tc>
          <w:tcPr>
            <w:tcW w:w="1707" w:type="pct"/>
            <w:tcBorders>
              <w:top w:val="single" w:color="000000" w:sz="4" w:space="0"/>
            </w:tcBorders>
            <w:shd w:val="clear" w:color="auto" w:fill="FFFFFF"/>
          </w:tcPr>
          <w:p w14:paraId="2EEC6A1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HR/(MAP+1)</w:t>
            </w:r>
          </w:p>
        </w:tc>
        <w:tc>
          <w:tcPr>
            <w:tcW w:w="1960" w:type="pct"/>
            <w:tcBorders>
              <w:top w:val="single" w:color="000000" w:sz="4" w:space="0"/>
            </w:tcBorders>
            <w:shd w:val="clear" w:color="auto" w:fill="FFFFFF"/>
          </w:tcPr>
          <w:p w14:paraId="3EAE7554">
            <w:pPr>
              <w:widowControl/>
              <w:spacing w:line="240" w:lineRule="auto"/>
              <w:ind w:firstLine="0" w:firstLineChars="0"/>
              <w:jc w:val="center"/>
              <w:rPr>
                <w:rFonts w:cs="Times New Roman"/>
                <w:color w:val="000000"/>
                <w:spacing w:val="4"/>
                <w:kern w:val="0"/>
              </w:rPr>
            </w:pPr>
            <w:r>
              <w:rPr>
                <w:rFonts w:cs="Times New Roman"/>
                <w:color w:val="000000"/>
                <w:spacing w:val="4"/>
                <w:kern w:val="0"/>
              </w:rPr>
              <w:t>反映心率升高与血压降低共同提示的循环不稳定</w:t>
            </w:r>
          </w:p>
        </w:tc>
      </w:tr>
      <w:tr w14:paraId="32D79A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shd w:val="clear" w:color="auto" w:fill="FFFFFF"/>
          </w:tcPr>
          <w:p w14:paraId="0A66C9CF">
            <w:pPr>
              <w:widowControl/>
              <w:spacing w:line="240" w:lineRule="auto"/>
              <w:ind w:firstLine="0" w:firstLineChars="0"/>
              <w:jc w:val="center"/>
              <w:rPr>
                <w:rFonts w:cs="Times New Roman"/>
                <w:color w:val="000000"/>
                <w:spacing w:val="4"/>
                <w:kern w:val="0"/>
              </w:rPr>
            </w:pPr>
            <w:r>
              <w:rPr>
                <w:rFonts w:cs="Times New Roman"/>
                <w:color w:val="000000"/>
                <w:spacing w:val="4"/>
                <w:kern w:val="0"/>
              </w:rPr>
              <w:t>共病-重症交互</w:t>
            </w:r>
          </w:p>
        </w:tc>
        <w:tc>
          <w:tcPr>
            <w:tcW w:w="1707" w:type="pct"/>
            <w:shd w:val="clear" w:color="auto" w:fill="FFFFFF"/>
          </w:tcPr>
          <w:p w14:paraId="2458C219">
            <w:pPr>
              <w:widowControl/>
              <w:spacing w:line="240" w:lineRule="auto"/>
              <w:ind w:firstLine="0" w:firstLineChars="0"/>
              <w:jc w:val="center"/>
              <w:rPr>
                <w:rFonts w:cs="Times New Roman"/>
                <w:color w:val="000000"/>
                <w:spacing w:val="4"/>
                <w:kern w:val="0"/>
              </w:rPr>
            </w:pPr>
            <w:r>
              <w:rPr>
                <w:rFonts w:cs="Times New Roman"/>
                <w:color w:val="000000"/>
                <w:spacing w:val="4"/>
                <w:kern w:val="0"/>
              </w:rPr>
              <w:t>Charlson×SOFA</w:t>
            </w:r>
          </w:p>
        </w:tc>
        <w:tc>
          <w:tcPr>
            <w:tcW w:w="1960" w:type="pct"/>
            <w:shd w:val="clear" w:color="auto" w:fill="FFFFFF"/>
          </w:tcPr>
          <w:p w14:paraId="7C1AFFE3">
            <w:pPr>
              <w:widowControl/>
              <w:spacing w:line="240" w:lineRule="auto"/>
              <w:ind w:firstLine="0" w:firstLineChars="0"/>
              <w:jc w:val="center"/>
              <w:rPr>
                <w:rFonts w:cs="Times New Roman"/>
                <w:color w:val="000000"/>
                <w:spacing w:val="4"/>
                <w:kern w:val="0"/>
              </w:rPr>
            </w:pPr>
            <w:r>
              <w:rPr>
                <w:rFonts w:cs="Times New Roman"/>
                <w:color w:val="000000"/>
                <w:spacing w:val="4"/>
                <w:kern w:val="0"/>
              </w:rPr>
              <w:t>表达基础疾病负担与急性重症状态的叠加风险</w:t>
            </w:r>
          </w:p>
        </w:tc>
      </w:tr>
      <w:tr w14:paraId="174367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shd w:val="clear" w:color="auto" w:fill="FFFFFF"/>
          </w:tcPr>
          <w:p w14:paraId="144593F2">
            <w:pPr>
              <w:widowControl/>
              <w:spacing w:line="240" w:lineRule="auto"/>
              <w:ind w:firstLine="0" w:firstLineChars="0"/>
              <w:jc w:val="center"/>
              <w:rPr>
                <w:rFonts w:cs="Times New Roman"/>
                <w:color w:val="000000"/>
                <w:spacing w:val="4"/>
                <w:kern w:val="0"/>
              </w:rPr>
            </w:pPr>
            <w:r>
              <w:rPr>
                <w:rFonts w:cs="Times New Roman"/>
                <w:color w:val="000000"/>
                <w:spacing w:val="4"/>
                <w:kern w:val="0"/>
              </w:rPr>
              <w:t>ECG风险动态</w:t>
            </w:r>
          </w:p>
        </w:tc>
        <w:tc>
          <w:tcPr>
            <w:tcW w:w="1707" w:type="pct"/>
            <w:shd w:val="clear" w:color="auto" w:fill="FFFFFF"/>
          </w:tcPr>
          <w:p w14:paraId="4C4966B5">
            <w:pPr>
              <w:widowControl/>
              <w:spacing w:line="240" w:lineRule="auto"/>
              <w:ind w:firstLine="0" w:firstLineChars="0"/>
              <w:jc w:val="center"/>
              <w:rPr>
                <w:rFonts w:cs="Times New Roman"/>
                <w:color w:val="000000"/>
                <w:spacing w:val="4"/>
                <w:kern w:val="0"/>
              </w:rPr>
            </w:pPr>
            <w:r>
              <w:rPr>
                <w:rFonts w:cs="Times New Roman"/>
                <w:color w:val="000000"/>
                <w:spacing w:val="4"/>
                <w:kern w:val="0"/>
              </w:rPr>
              <w:t>末次risk-首次risk</w:t>
            </w:r>
          </w:p>
        </w:tc>
        <w:tc>
          <w:tcPr>
            <w:tcW w:w="1960" w:type="pct"/>
            <w:shd w:val="clear" w:color="auto" w:fill="FFFFFF"/>
          </w:tcPr>
          <w:p w14:paraId="36F605A5">
            <w:pPr>
              <w:widowControl/>
              <w:spacing w:line="240" w:lineRule="auto"/>
              <w:ind w:firstLine="0" w:firstLineChars="0"/>
              <w:jc w:val="center"/>
              <w:rPr>
                <w:rFonts w:cs="Times New Roman"/>
                <w:color w:val="000000"/>
                <w:spacing w:val="4"/>
                <w:kern w:val="0"/>
              </w:rPr>
            </w:pPr>
            <w:r>
              <w:rPr>
                <w:rFonts w:cs="Times New Roman"/>
                <w:color w:val="000000"/>
                <w:spacing w:val="4"/>
                <w:kern w:val="0"/>
              </w:rPr>
              <w:t>描述住院内ECG风险随时间的变化趋势</w:t>
            </w:r>
          </w:p>
        </w:tc>
      </w:tr>
      <w:tr w14:paraId="53A1D1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shd w:val="clear" w:color="auto" w:fill="FFFFFF"/>
          </w:tcPr>
          <w:p w14:paraId="0FDCFA10">
            <w:pPr>
              <w:widowControl/>
              <w:spacing w:line="240" w:lineRule="auto"/>
              <w:ind w:firstLine="0" w:firstLineChars="0"/>
              <w:jc w:val="center"/>
              <w:rPr>
                <w:rFonts w:cs="Times New Roman"/>
                <w:color w:val="000000"/>
                <w:spacing w:val="4"/>
                <w:kern w:val="0"/>
              </w:rPr>
            </w:pPr>
            <w:r>
              <w:rPr>
                <w:rFonts w:cs="Times New Roman"/>
                <w:color w:val="000000"/>
                <w:spacing w:val="4"/>
                <w:kern w:val="0"/>
              </w:rPr>
              <w:t>住院/患者聚合</w:t>
            </w:r>
          </w:p>
        </w:tc>
        <w:tc>
          <w:tcPr>
            <w:tcW w:w="1707" w:type="pct"/>
            <w:shd w:val="clear" w:color="auto" w:fill="FFFFFF"/>
          </w:tcPr>
          <w:p w14:paraId="2B71FC4C">
            <w:pPr>
              <w:widowControl/>
              <w:spacing w:line="240" w:lineRule="auto"/>
              <w:ind w:firstLine="0" w:firstLineChars="0"/>
              <w:jc w:val="center"/>
              <w:rPr>
                <w:rFonts w:cs="Times New Roman"/>
                <w:color w:val="000000"/>
                <w:spacing w:val="4"/>
                <w:kern w:val="0"/>
              </w:rPr>
            </w:pPr>
            <w:r>
              <w:rPr>
                <w:rFonts w:cs="Times New Roman"/>
                <w:color w:val="000000"/>
                <w:spacing w:val="4"/>
                <w:kern w:val="0"/>
              </w:rPr>
              <w:t>LOO_mean(risk)</w:t>
            </w:r>
          </w:p>
        </w:tc>
        <w:tc>
          <w:tcPr>
            <w:tcW w:w="1960" w:type="pct"/>
            <w:shd w:val="clear" w:color="auto" w:fill="FFFFFF"/>
          </w:tcPr>
          <w:p w14:paraId="4EE8CA32">
            <w:pPr>
              <w:widowControl/>
              <w:spacing w:line="240" w:lineRule="auto"/>
              <w:ind w:firstLine="0" w:firstLineChars="0"/>
              <w:jc w:val="center"/>
              <w:rPr>
                <w:rFonts w:cs="Times New Roman"/>
                <w:color w:val="000000"/>
                <w:spacing w:val="4"/>
                <w:kern w:val="0"/>
              </w:rPr>
            </w:pPr>
            <w:r>
              <w:rPr>
                <w:rFonts w:cs="Times New Roman"/>
                <w:color w:val="000000"/>
                <w:spacing w:val="4"/>
                <w:kern w:val="0"/>
              </w:rPr>
              <w:t>补充同次住院内其他ECG记录所反映的风险背景</w:t>
            </w:r>
          </w:p>
        </w:tc>
      </w:tr>
      <w:tr w14:paraId="51F79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1" w:type="pct"/>
            <w:shd w:val="clear" w:color="auto" w:fill="FFFFFF"/>
          </w:tcPr>
          <w:p w14:paraId="01E1C214">
            <w:pPr>
              <w:widowControl/>
              <w:spacing w:line="240" w:lineRule="auto"/>
              <w:ind w:firstLine="0" w:firstLineChars="0"/>
              <w:jc w:val="center"/>
              <w:rPr>
                <w:rFonts w:cs="Times New Roman"/>
                <w:color w:val="000000"/>
                <w:spacing w:val="4"/>
                <w:kern w:val="0"/>
              </w:rPr>
            </w:pPr>
            <w:r>
              <w:rPr>
                <w:rFonts w:cs="Times New Roman"/>
                <w:color w:val="000000"/>
                <w:spacing w:val="4"/>
                <w:kern w:val="0"/>
              </w:rPr>
              <w:t>ECG-临床交互</w:t>
            </w:r>
          </w:p>
        </w:tc>
        <w:tc>
          <w:tcPr>
            <w:tcW w:w="1707" w:type="pct"/>
            <w:shd w:val="clear" w:color="auto" w:fill="FFFFFF"/>
          </w:tcPr>
          <w:p w14:paraId="4CDF24E0">
            <w:pPr>
              <w:widowControl/>
              <w:spacing w:line="240" w:lineRule="auto"/>
              <w:ind w:firstLine="0" w:firstLineChars="0"/>
              <w:jc w:val="center"/>
              <w:rPr>
                <w:rFonts w:cs="Times New Roman"/>
                <w:color w:val="000000"/>
                <w:spacing w:val="4"/>
                <w:kern w:val="0"/>
              </w:rPr>
            </w:pPr>
            <w:r>
              <w:rPr>
                <w:rFonts w:cs="Times New Roman"/>
                <w:color w:val="000000"/>
                <w:spacing w:val="4"/>
                <w:kern w:val="0"/>
              </w:rPr>
              <w:t>risk×SOFA</w:t>
            </w:r>
          </w:p>
        </w:tc>
        <w:tc>
          <w:tcPr>
            <w:tcW w:w="1960" w:type="pct"/>
            <w:shd w:val="clear" w:color="auto" w:fill="FFFFFF"/>
          </w:tcPr>
          <w:p w14:paraId="27967447">
            <w:pPr>
              <w:widowControl/>
              <w:spacing w:line="240" w:lineRule="auto"/>
              <w:ind w:firstLine="0" w:firstLineChars="0"/>
              <w:jc w:val="center"/>
              <w:rPr>
                <w:rFonts w:cs="Times New Roman"/>
                <w:color w:val="000000"/>
                <w:spacing w:val="4"/>
                <w:kern w:val="0"/>
              </w:rPr>
            </w:pPr>
            <w:r>
              <w:rPr>
                <w:rFonts w:cs="Times New Roman"/>
                <w:color w:val="000000"/>
                <w:spacing w:val="4"/>
                <w:kern w:val="0"/>
              </w:rPr>
              <w:t>反映心电风险在重症背景下的放大效应</w:t>
            </w:r>
          </w:p>
        </w:tc>
      </w:tr>
    </w:tbl>
    <w:p w14:paraId="233D1E52">
      <w:pPr>
        <w:pStyle w:val="4"/>
        <w:ind w:firstLine="482"/>
        <w:rPr>
          <w:rFonts w:ascii="Times New Roman" w:hAnsi="Times New Roman"/>
        </w:rPr>
      </w:pPr>
      <w:r>
        <w:rPr>
          <w:rFonts w:ascii="Times New Roman" w:hAnsi="Times New Roman"/>
        </w:rPr>
        <w:t>2.基于临床</w:t>
      </w:r>
      <w:r>
        <w:rPr>
          <w:rFonts w:hint="eastAsia" w:ascii="宋体" w:hAnsi="宋体" w:eastAsia="宋体" w:cs="宋体"/>
        </w:rPr>
        <w:t>-</w:t>
      </w:r>
      <w:r>
        <w:rPr>
          <w:rFonts w:ascii="Times New Roman" w:hAnsi="Times New Roman"/>
        </w:rPr>
        <w:t>心电交互的比率</w:t>
      </w:r>
      <w:r>
        <w:rPr>
          <w:rFonts w:hint="eastAsia" w:ascii="宋体" w:hAnsi="宋体" w:eastAsia="宋体" w:cs="宋体"/>
        </w:rPr>
        <w:t>/</w:t>
      </w:r>
      <w:r>
        <w:rPr>
          <w:rFonts w:ascii="Times New Roman" w:hAnsi="Times New Roman"/>
        </w:rPr>
        <w:t>乘积指标</w:t>
      </w:r>
    </w:p>
    <w:p w14:paraId="7AC0EE80">
      <w:pPr>
        <w:ind w:firstLine="480"/>
      </w:pPr>
      <w:r>
        <w:rPr>
          <w:rFonts w:hint="eastAsia"/>
        </w:rPr>
        <w:t>除上述复合指标外，本研究还构造了4个跨模态比率</w:t>
      </w:r>
      <w:r>
        <w:rPr>
          <w:rFonts w:hint="eastAsia" w:ascii="宋体" w:hAnsi="宋体" w:eastAsia="宋体" w:cs="宋体"/>
        </w:rPr>
        <w:t>/</w:t>
      </w:r>
      <w:r>
        <w:rPr>
          <w:rFonts w:hint="eastAsia"/>
        </w:rPr>
        <w:t>乘积指标如表6，通过将临床化验值与心电测量值直接关联，捕捉两类信号间的非线性交互关系。这些指标的临床依据是：心电间期变化与代谢紊乱之间存在已知的病理生理关联。</w:t>
      </w:r>
    </w:p>
    <w:p w14:paraId="568AA5FA">
      <w:pPr>
        <w:pStyle w:val="5"/>
        <w:ind w:firstLine="480"/>
      </w:pPr>
      <w:r>
        <w:t>表</w:t>
      </w:r>
      <w:r>
        <w:fldChar w:fldCharType="begin"/>
      </w:r>
      <w:r>
        <w:instrText xml:space="preserve"> SEQ 表 \* ARABIC </w:instrText>
      </w:r>
      <w:r>
        <w:fldChar w:fldCharType="separate"/>
      </w:r>
      <w:r>
        <w:t>6</w:t>
      </w:r>
      <w:r>
        <w:fldChar w:fldCharType="end"/>
      </w:r>
      <w:bookmarkStart w:id="64" w:name="_Toc15983"/>
      <w:r>
        <w:rPr>
          <w:rFonts w:hint="eastAsia"/>
        </w:rPr>
        <w:t xml:space="preserve"> 基于临床</w:t>
      </w:r>
      <w:r>
        <w:rPr>
          <w:rFonts w:hint="eastAsia" w:ascii="宋体" w:hAnsi="宋体" w:eastAsia="宋体" w:cs="宋体"/>
        </w:rPr>
        <w:t>-</w:t>
      </w:r>
      <w:r>
        <w:rPr>
          <w:rFonts w:hint="eastAsia"/>
        </w:rPr>
        <w:t>心电交互的融合特征</w:t>
      </w:r>
      <w:bookmarkEnd w:id="64"/>
    </w:p>
    <w:tbl>
      <w:tblPr>
        <w:tblStyle w:val="16"/>
        <w:tblW w:w="4998"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1"/>
        <w:gridCol w:w="2892"/>
        <w:gridCol w:w="3766"/>
      </w:tblGrid>
      <w:tr w14:paraId="50F77E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tcBorders>
              <w:bottom w:val="single" w:color="000000" w:sz="4" w:space="0"/>
              <w:tl2br w:val="nil"/>
            </w:tcBorders>
            <w:shd w:val="clear" w:color="auto" w:fill="FFFFFF"/>
          </w:tcPr>
          <w:p w14:paraId="200E3CDE">
            <w:pPr>
              <w:widowControl/>
              <w:spacing w:line="240" w:lineRule="auto"/>
              <w:ind w:firstLine="0" w:firstLineChars="0"/>
              <w:jc w:val="center"/>
              <w:rPr>
                <w:rFonts w:cs="Times New Roman"/>
                <w:color w:val="000000"/>
                <w:spacing w:val="4"/>
                <w:kern w:val="0"/>
              </w:rPr>
            </w:pPr>
            <w:bookmarkStart w:id="65" w:name="_Toc2007"/>
            <w:r>
              <w:rPr>
                <w:rFonts w:hint="eastAsia" w:cs="Times New Roman"/>
                <w:color w:val="000000"/>
                <w:spacing w:val="4"/>
                <w:kern w:val="0"/>
              </w:rPr>
              <w:t>特征名</w:t>
            </w:r>
          </w:p>
        </w:tc>
        <w:tc>
          <w:tcPr>
            <w:tcW w:w="1697" w:type="pct"/>
            <w:tcBorders>
              <w:bottom w:val="single" w:color="000000" w:sz="4" w:space="0"/>
            </w:tcBorders>
            <w:shd w:val="clear" w:color="auto" w:fill="FFFFFF"/>
          </w:tcPr>
          <w:p w14:paraId="5D41CA5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构造公式</w:t>
            </w:r>
          </w:p>
        </w:tc>
        <w:tc>
          <w:tcPr>
            <w:tcW w:w="2210" w:type="pct"/>
            <w:tcBorders>
              <w:bottom w:val="single" w:color="000000" w:sz="4" w:space="0"/>
            </w:tcBorders>
            <w:shd w:val="clear" w:color="auto" w:fill="FFFFFF"/>
          </w:tcPr>
          <w:p w14:paraId="3FFC66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临床含义</w:t>
            </w:r>
          </w:p>
        </w:tc>
      </w:tr>
      <w:tr w14:paraId="02F37C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tcBorders>
              <w:top w:val="single" w:color="000000" w:sz="4" w:space="0"/>
            </w:tcBorders>
            <w:shd w:val="clear" w:color="auto" w:fill="FFFFFF"/>
          </w:tcPr>
          <w:p w14:paraId="41CD110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BUN×RR间期</w:t>
            </w:r>
          </w:p>
        </w:tc>
        <w:tc>
          <w:tcPr>
            <w:tcW w:w="1697" w:type="pct"/>
            <w:tcBorders>
              <w:top w:val="single" w:color="000000" w:sz="4" w:space="0"/>
            </w:tcBorders>
            <w:shd w:val="clear" w:color="auto" w:fill="FFFFFF"/>
          </w:tcPr>
          <w:p w14:paraId="7314207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尿素氮×RR间期/1000</w:t>
            </w:r>
          </w:p>
        </w:tc>
        <w:tc>
          <w:tcPr>
            <w:tcW w:w="2210" w:type="pct"/>
            <w:tcBorders>
              <w:top w:val="single" w:color="000000" w:sz="4" w:space="0"/>
            </w:tcBorders>
            <w:shd w:val="clear" w:color="auto" w:fill="FFFFFF"/>
          </w:tcPr>
          <w:p w14:paraId="662DB7D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肾功能恶化伴心率减慢</w:t>
            </w:r>
          </w:p>
        </w:tc>
      </w:tr>
      <w:tr w14:paraId="1C8047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shd w:val="clear" w:color="auto" w:fill="FFFFFF"/>
          </w:tcPr>
          <w:p w14:paraId="51F3148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年龄×BUN</w:t>
            </w:r>
          </w:p>
        </w:tc>
        <w:tc>
          <w:tcPr>
            <w:tcW w:w="1697" w:type="pct"/>
            <w:shd w:val="clear" w:color="auto" w:fill="FFFFFF"/>
          </w:tcPr>
          <w:p w14:paraId="756707A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年龄×尿素氮/100</w:t>
            </w:r>
          </w:p>
        </w:tc>
        <w:tc>
          <w:tcPr>
            <w:tcW w:w="2210" w:type="pct"/>
            <w:shd w:val="clear" w:color="auto" w:fill="FFFFFF"/>
          </w:tcPr>
          <w:p w14:paraId="0C9DCAF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高龄患者肾功能下降的累积效应</w:t>
            </w:r>
          </w:p>
        </w:tc>
      </w:tr>
      <w:tr w14:paraId="0DF1D0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shd w:val="clear" w:color="auto" w:fill="FFFFFF"/>
          </w:tcPr>
          <w:p w14:paraId="0038C8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BUN/血红蛋白</w:t>
            </w:r>
          </w:p>
        </w:tc>
        <w:tc>
          <w:tcPr>
            <w:tcW w:w="1697" w:type="pct"/>
            <w:shd w:val="clear" w:color="auto" w:fill="FFFFFF"/>
          </w:tcPr>
          <w:p w14:paraId="1D71715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尿素氮/血红蛋白</w:t>
            </w:r>
          </w:p>
        </w:tc>
        <w:tc>
          <w:tcPr>
            <w:tcW w:w="2210" w:type="pct"/>
            <w:shd w:val="clear" w:color="auto" w:fill="FFFFFF"/>
          </w:tcPr>
          <w:p w14:paraId="24167E2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肾性贫血</w:t>
            </w:r>
          </w:p>
        </w:tc>
      </w:tr>
      <w:tr w14:paraId="05BD05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2" w:type="pct"/>
            <w:shd w:val="clear" w:color="auto" w:fill="FFFFFF"/>
          </w:tcPr>
          <w:p w14:paraId="10E896C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RR/QTc</w:t>
            </w:r>
          </w:p>
        </w:tc>
        <w:tc>
          <w:tcPr>
            <w:tcW w:w="1697" w:type="pct"/>
            <w:shd w:val="clear" w:color="auto" w:fill="FFFFFF"/>
          </w:tcPr>
          <w:p w14:paraId="45EDD84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RR间期/QTc</w:t>
            </w:r>
          </w:p>
        </w:tc>
        <w:tc>
          <w:tcPr>
            <w:tcW w:w="2210" w:type="pct"/>
            <w:shd w:val="clear" w:color="auto" w:fill="FFFFFF"/>
          </w:tcPr>
          <w:p w14:paraId="508E7F7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心律失常风险标志</w:t>
            </w:r>
          </w:p>
        </w:tc>
      </w:tr>
      <w:bookmarkEnd w:id="65"/>
    </w:tbl>
    <w:p w14:paraId="3F87B57E">
      <w:pPr>
        <w:pStyle w:val="3"/>
        <w:ind w:firstLine="560"/>
      </w:pPr>
      <w:bookmarkStart w:id="66" w:name="_Toc21315"/>
      <w:r>
        <w:rPr>
          <w:rFonts w:hint="eastAsia"/>
        </w:rPr>
        <w:t>（五）候选特征筛选与降维处理</w:t>
      </w:r>
      <w:bookmarkEnd w:id="66"/>
    </w:p>
    <w:p w14:paraId="544A8800">
      <w:pPr>
        <w:ind w:firstLine="480"/>
      </w:pPr>
      <w:r>
        <w:rPr>
          <w:rFonts w:hint="eastAsia"/>
        </w:rPr>
        <w:t>在完成多源特征构建后，候选变量中同时包含原始临床变量、ECG结构化指标、住院内动态聚合特征等特征。为减少冗余变量对模型训练的影响，本文引入LASSO回归和XGBoost特征增益进行候选特征筛选。</w:t>
      </w:r>
    </w:p>
    <w:p w14:paraId="4A50510D">
      <w:pPr>
        <w:ind w:firstLine="480"/>
      </w:pPr>
      <w:r>
        <w:rPr>
          <w:rFonts w:hint="eastAsia"/>
        </w:rPr>
        <w:t>具体而言，SOFA评分、核心ECG风险系数及具有明确临床含义的融合变量作为强先验特征直接保留；其余普通候选变量在训练集中进入LASSO回归筛选，系数非零者被保留。考虑到LASSO主要刻画线性稀疏关系，所以我们进一步使用XGBoost特征增益补充潜在非线性重要变量。对于TCN输出的原始高维embedding，不直接输入最终模型，而是在训练集内完成降维处理后形成低维ECG表征。</w:t>
      </w:r>
    </w:p>
    <w:p w14:paraId="06422C87">
      <w:pPr>
        <w:ind w:firstLine="480"/>
      </w:pPr>
      <w:r>
        <w:rPr>
          <w:rFonts w:hint="eastAsia"/>
        </w:rPr>
        <w:t>通过上述处理，最终候选特征矩阵保留了临床强信号、ECG风险表征及其动态交互信息如表7，同时剔除了重复测量字段、低频稀疏变量、模型元数据字段和潜在泄漏字段。该策略既降低了特征冗余，又避免仅依赖自动筛选误删具有明确临床意义的变量。</w:t>
      </w:r>
    </w:p>
    <w:p w14:paraId="33B2F17D">
      <w:pPr>
        <w:pStyle w:val="5"/>
        <w:ind w:firstLine="480"/>
      </w:pPr>
      <w:r>
        <w:t>表</w:t>
      </w:r>
      <w:r>
        <w:fldChar w:fldCharType="begin"/>
      </w:r>
      <w:r>
        <w:instrText xml:space="preserve"> SEQ 表 \* ARABIC </w:instrText>
      </w:r>
      <w:r>
        <w:fldChar w:fldCharType="separate"/>
      </w:r>
      <w:r>
        <w:t>7</w:t>
      </w:r>
      <w:r>
        <w:fldChar w:fldCharType="end"/>
      </w:r>
      <w:bookmarkStart w:id="67" w:name="_Toc14867"/>
      <w:r>
        <w:rPr>
          <w:rFonts w:hint="eastAsia"/>
        </w:rPr>
        <w:t xml:space="preserve"> </w:t>
      </w:r>
      <w:r>
        <w:t>候选特征筛选与降维处理策略</w:t>
      </w:r>
      <w:bookmarkEnd w:id="67"/>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2840"/>
        <w:gridCol w:w="2817"/>
      </w:tblGrid>
      <w:tr w14:paraId="4555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single" w:color="000000" w:sz="12" w:space="0"/>
              <w:left w:val="nil"/>
              <w:bottom w:val="single" w:color="000000" w:sz="4" w:space="0"/>
              <w:right w:val="nil"/>
              <w:tl2br w:val="nil"/>
            </w:tcBorders>
            <w:shd w:val="clear" w:color="auto" w:fill="FFFFFF"/>
            <w:vAlign w:val="center"/>
          </w:tcPr>
          <w:p w14:paraId="72E715F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处理对象</w:t>
            </w:r>
          </w:p>
        </w:tc>
        <w:tc>
          <w:tcPr>
            <w:tcW w:w="3135" w:type="dxa"/>
            <w:tcBorders>
              <w:top w:val="single" w:color="000000" w:sz="12" w:space="0"/>
              <w:left w:val="nil"/>
              <w:bottom w:val="single" w:color="000000" w:sz="4" w:space="0"/>
              <w:right w:val="nil"/>
            </w:tcBorders>
            <w:shd w:val="clear" w:color="auto" w:fill="FFFFFF"/>
            <w:vAlign w:val="center"/>
          </w:tcPr>
          <w:p w14:paraId="2642582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处理方式</w:t>
            </w:r>
          </w:p>
        </w:tc>
        <w:tc>
          <w:tcPr>
            <w:tcW w:w="3135" w:type="dxa"/>
            <w:tcBorders>
              <w:top w:val="single" w:color="000000" w:sz="12" w:space="0"/>
              <w:left w:val="nil"/>
              <w:bottom w:val="single" w:color="000000" w:sz="4" w:space="0"/>
              <w:right w:val="nil"/>
            </w:tcBorders>
            <w:shd w:val="clear" w:color="auto" w:fill="FFFFFF"/>
            <w:vAlign w:val="center"/>
          </w:tcPr>
          <w:p w14:paraId="5A3BDB3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目的</w:t>
            </w:r>
          </w:p>
        </w:tc>
      </w:tr>
      <w:tr w14:paraId="7539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single" w:color="000000" w:sz="4" w:space="0"/>
              <w:left w:val="nil"/>
              <w:bottom w:val="nil"/>
              <w:right w:val="nil"/>
            </w:tcBorders>
            <w:shd w:val="clear" w:color="auto" w:fill="FFFFFF"/>
            <w:vAlign w:val="center"/>
          </w:tcPr>
          <w:p w14:paraId="7351E03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临床强先验变量</w:t>
            </w:r>
          </w:p>
        </w:tc>
        <w:tc>
          <w:tcPr>
            <w:tcW w:w="3135" w:type="dxa"/>
            <w:tcBorders>
              <w:top w:val="single" w:color="000000" w:sz="4" w:space="0"/>
              <w:left w:val="nil"/>
              <w:bottom w:val="nil"/>
              <w:right w:val="nil"/>
            </w:tcBorders>
            <w:shd w:val="clear" w:color="auto" w:fill="FFFFFF"/>
            <w:vAlign w:val="center"/>
          </w:tcPr>
          <w:p w14:paraId="27136E0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直接保留</w:t>
            </w:r>
          </w:p>
        </w:tc>
        <w:tc>
          <w:tcPr>
            <w:tcW w:w="3135" w:type="dxa"/>
            <w:tcBorders>
              <w:top w:val="single" w:color="000000" w:sz="4" w:space="0"/>
              <w:left w:val="nil"/>
              <w:bottom w:val="nil"/>
              <w:right w:val="nil"/>
            </w:tcBorders>
            <w:shd w:val="clear" w:color="auto" w:fill="FFFFFF"/>
            <w:vAlign w:val="center"/>
          </w:tcPr>
          <w:p w14:paraId="2F6FF5E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避免年龄、关键检验、严重程度评分等强信号被误删</w:t>
            </w:r>
          </w:p>
        </w:tc>
      </w:tr>
      <w:tr w14:paraId="58D67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nil"/>
              <w:right w:val="nil"/>
            </w:tcBorders>
            <w:shd w:val="clear" w:color="auto" w:fill="FFFFFF"/>
            <w:vAlign w:val="center"/>
          </w:tcPr>
          <w:p w14:paraId="3933982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普通候选变量</w:t>
            </w:r>
          </w:p>
        </w:tc>
        <w:tc>
          <w:tcPr>
            <w:tcW w:w="3135" w:type="dxa"/>
            <w:tcBorders>
              <w:top w:val="nil"/>
              <w:left w:val="nil"/>
              <w:bottom w:val="nil"/>
              <w:right w:val="nil"/>
            </w:tcBorders>
            <w:shd w:val="clear" w:color="auto" w:fill="FFFFFF"/>
            <w:vAlign w:val="center"/>
          </w:tcPr>
          <w:p w14:paraId="0B6069E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LASSO回归筛选</w:t>
            </w:r>
          </w:p>
        </w:tc>
        <w:tc>
          <w:tcPr>
            <w:tcW w:w="3135" w:type="dxa"/>
            <w:tcBorders>
              <w:top w:val="nil"/>
              <w:left w:val="nil"/>
              <w:bottom w:val="nil"/>
              <w:right w:val="nil"/>
            </w:tcBorders>
            <w:shd w:val="clear" w:color="auto" w:fill="FFFFFF"/>
            <w:vAlign w:val="center"/>
          </w:tcPr>
          <w:p w14:paraId="0CCABD8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通过L1正则化剔除弱相关冗余变量</w:t>
            </w:r>
          </w:p>
        </w:tc>
      </w:tr>
      <w:tr w14:paraId="0CD9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nil"/>
              <w:right w:val="nil"/>
            </w:tcBorders>
            <w:shd w:val="clear" w:color="auto" w:fill="FFFFFF"/>
            <w:vAlign w:val="center"/>
          </w:tcPr>
          <w:p w14:paraId="35C9A2E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非线性候选变量</w:t>
            </w:r>
          </w:p>
        </w:tc>
        <w:tc>
          <w:tcPr>
            <w:tcW w:w="3135" w:type="dxa"/>
            <w:tcBorders>
              <w:top w:val="nil"/>
              <w:left w:val="nil"/>
              <w:bottom w:val="nil"/>
              <w:right w:val="nil"/>
            </w:tcBorders>
            <w:shd w:val="clear" w:color="auto" w:fill="FFFFFF"/>
            <w:vAlign w:val="center"/>
          </w:tcPr>
          <w:p w14:paraId="137B8F5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XGBoost gain补充</w:t>
            </w:r>
          </w:p>
        </w:tc>
        <w:tc>
          <w:tcPr>
            <w:tcW w:w="3135" w:type="dxa"/>
            <w:tcBorders>
              <w:top w:val="nil"/>
              <w:left w:val="nil"/>
              <w:bottom w:val="nil"/>
              <w:right w:val="nil"/>
            </w:tcBorders>
            <w:shd w:val="clear" w:color="auto" w:fill="FFFFFF"/>
            <w:vAlign w:val="center"/>
          </w:tcPr>
          <w:p w14:paraId="063726D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补充LASSO难以捕捉的非线性重要特征</w:t>
            </w:r>
          </w:p>
        </w:tc>
      </w:tr>
      <w:tr w14:paraId="0BB6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nil"/>
              <w:right w:val="nil"/>
            </w:tcBorders>
            <w:shd w:val="clear" w:color="auto" w:fill="FFFFFF"/>
            <w:vAlign w:val="center"/>
          </w:tcPr>
          <w:p w14:paraId="2164EB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原始ECG embedding</w:t>
            </w:r>
          </w:p>
        </w:tc>
        <w:tc>
          <w:tcPr>
            <w:tcW w:w="3135" w:type="dxa"/>
            <w:tcBorders>
              <w:top w:val="nil"/>
              <w:left w:val="nil"/>
              <w:bottom w:val="nil"/>
              <w:right w:val="nil"/>
            </w:tcBorders>
            <w:shd w:val="clear" w:color="auto" w:fill="FFFFFF"/>
            <w:vAlign w:val="center"/>
          </w:tcPr>
          <w:p w14:paraId="379AA56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训练集内降维</w:t>
            </w:r>
          </w:p>
        </w:tc>
        <w:tc>
          <w:tcPr>
            <w:tcW w:w="3135" w:type="dxa"/>
            <w:tcBorders>
              <w:top w:val="nil"/>
              <w:left w:val="nil"/>
              <w:bottom w:val="nil"/>
              <w:right w:val="nil"/>
            </w:tcBorders>
            <w:shd w:val="clear" w:color="auto" w:fill="FFFFFF"/>
            <w:vAlign w:val="center"/>
          </w:tcPr>
          <w:p w14:paraId="42C7F2B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将高维深度表征压缩为低维ECG表征</w:t>
            </w:r>
          </w:p>
        </w:tc>
      </w:tr>
      <w:tr w14:paraId="00E5A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nil"/>
              <w:right w:val="nil"/>
            </w:tcBorders>
            <w:shd w:val="clear" w:color="auto" w:fill="FFFFFF"/>
            <w:vAlign w:val="center"/>
          </w:tcPr>
          <w:p w14:paraId="789DFF1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模型元数据与泄漏字段</w:t>
            </w:r>
          </w:p>
        </w:tc>
        <w:tc>
          <w:tcPr>
            <w:tcW w:w="3135" w:type="dxa"/>
            <w:tcBorders>
              <w:top w:val="nil"/>
              <w:left w:val="nil"/>
              <w:bottom w:val="nil"/>
              <w:right w:val="nil"/>
            </w:tcBorders>
            <w:shd w:val="clear" w:color="auto" w:fill="FFFFFF"/>
            <w:vAlign w:val="center"/>
          </w:tcPr>
          <w:p w14:paraId="6050BD3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直接剔除</w:t>
            </w:r>
          </w:p>
        </w:tc>
        <w:tc>
          <w:tcPr>
            <w:tcW w:w="3135" w:type="dxa"/>
            <w:tcBorders>
              <w:top w:val="nil"/>
              <w:left w:val="nil"/>
              <w:bottom w:val="nil"/>
              <w:right w:val="nil"/>
            </w:tcBorders>
            <w:shd w:val="clear" w:color="auto" w:fill="FFFFFF"/>
            <w:vAlign w:val="center"/>
          </w:tcPr>
          <w:p w14:paraId="1478FF4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避免非临床字段和样本回流影响评估</w:t>
            </w:r>
          </w:p>
        </w:tc>
      </w:tr>
      <w:tr w14:paraId="15FB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Borders>
              <w:top w:val="nil"/>
              <w:left w:val="nil"/>
              <w:bottom w:val="single" w:color="000000" w:sz="12" w:space="0"/>
              <w:right w:val="nil"/>
            </w:tcBorders>
            <w:shd w:val="clear" w:color="auto" w:fill="FFFFFF"/>
            <w:vAlign w:val="center"/>
          </w:tcPr>
          <w:p w14:paraId="04DDEF1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低频稀疏变量</w:t>
            </w:r>
          </w:p>
        </w:tc>
        <w:tc>
          <w:tcPr>
            <w:tcW w:w="3135" w:type="dxa"/>
            <w:tcBorders>
              <w:top w:val="nil"/>
              <w:left w:val="nil"/>
              <w:bottom w:val="single" w:color="000000" w:sz="12" w:space="0"/>
              <w:right w:val="nil"/>
            </w:tcBorders>
            <w:shd w:val="clear" w:color="auto" w:fill="FFFFFF"/>
            <w:vAlign w:val="center"/>
          </w:tcPr>
          <w:p w14:paraId="51298D7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筛除或不强制保留</w:t>
            </w:r>
          </w:p>
        </w:tc>
        <w:tc>
          <w:tcPr>
            <w:tcW w:w="3135" w:type="dxa"/>
            <w:tcBorders>
              <w:top w:val="nil"/>
              <w:left w:val="nil"/>
              <w:bottom w:val="single" w:color="000000" w:sz="12" w:space="0"/>
              <w:right w:val="nil"/>
            </w:tcBorders>
            <w:shd w:val="clear" w:color="auto" w:fill="FFFFFF"/>
            <w:vAlign w:val="center"/>
          </w:tcPr>
          <w:p w14:paraId="4224B9D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降低不稳定变量对模型训练的影响</w:t>
            </w:r>
          </w:p>
        </w:tc>
      </w:tr>
    </w:tbl>
    <w:p w14:paraId="6C1C8AC0">
      <w:pPr>
        <w:ind w:firstLine="480"/>
      </w:pPr>
    </w:p>
    <w:p w14:paraId="1E03EB07">
      <w:pPr>
        <w:pStyle w:val="2"/>
        <w:rPr>
          <w:highlight w:val="yellow"/>
        </w:rPr>
        <w:sectPr>
          <w:pgSz w:w="11906" w:h="16838"/>
          <w:pgMar w:top="1440" w:right="1800" w:bottom="1440" w:left="1800" w:header="851" w:footer="992" w:gutter="0"/>
          <w:cols w:space="425" w:num="1"/>
          <w:docGrid w:type="lines" w:linePitch="312" w:charSpace="0"/>
        </w:sectPr>
      </w:pPr>
    </w:p>
    <w:p w14:paraId="175C2803">
      <w:pPr>
        <w:pStyle w:val="2"/>
        <w:jc w:val="center"/>
      </w:pPr>
      <w:bookmarkStart w:id="68" w:name="_Toc6962"/>
      <w:bookmarkStart w:id="69" w:name="_Toc10656"/>
      <w:r>
        <w:rPr>
          <w:rFonts w:hint="eastAsia"/>
        </w:rPr>
        <w:t>四、</w:t>
      </w:r>
      <w:bookmarkEnd w:id="68"/>
      <w:r>
        <w:rPr>
          <w:rFonts w:hint="eastAsia"/>
        </w:rPr>
        <w:t>基于TCN的心电风险迁移建模</w:t>
      </w:r>
      <w:bookmarkEnd w:id="69"/>
    </w:p>
    <w:p w14:paraId="4577C4F8">
      <w:pPr>
        <w:ind w:firstLine="480"/>
      </w:pPr>
      <w:r>
        <w:rPr>
          <w:rFonts w:hint="eastAsia"/>
        </w:rPr>
        <w:t>MIMIC-IV-ECG提供了大规模真实临床心电记录，</w:t>
      </w:r>
      <w:r>
        <w:t>但ECG波形数据相对独立，属于非结构化时序信号，临床</w:t>
      </w:r>
      <w:r>
        <w:rPr>
          <w:rFonts w:hint="eastAsia"/>
        </w:rPr>
        <w:t>特征的</w:t>
      </w:r>
      <w:r>
        <w:t>模型难以直接提取其中的相关病理信息。因此，本文引入TCN心电模型，将原始ECG波形转化为可融合进临床模型的风险指数字段</w:t>
      </w:r>
      <w:r>
        <w:rPr>
          <w:rFonts w:hint="eastAsia"/>
        </w:rPr>
        <w:t>。</w:t>
      </w:r>
    </w:p>
    <w:p w14:paraId="1ECC3BAE">
      <w:pPr>
        <w:ind w:firstLine="480"/>
      </w:pPr>
      <w:bookmarkStart w:id="70" w:name="_Toc28743"/>
      <w:bookmarkStart w:id="71" w:name="一源域心电数据与表型定义"/>
      <w:r>
        <w:t>本文先利用外部猝死相关或高危心电数据训练TCN</w:t>
      </w:r>
      <w:r>
        <w:rPr>
          <w:rFonts w:hint="eastAsia"/>
        </w:rPr>
        <w:t>模型</w:t>
      </w:r>
      <w:r>
        <w:t>，使模型学习异常心电相关特征；随后将模型迁移至</w:t>
      </w:r>
      <w:r>
        <w:rPr>
          <w:rFonts w:hint="eastAsia"/>
        </w:rPr>
        <w:t>MIMIC-IV-ECG</w:t>
      </w:r>
      <w:r>
        <w:t>，并结合部分MIMIC</w:t>
      </w:r>
      <w:r>
        <w:rPr>
          <w:rFonts w:hint="eastAsia"/>
        </w:rPr>
        <w:t>猝死</w:t>
      </w:r>
      <w:r>
        <w:t>患者的临床结局进行监督微调。最终</w:t>
      </w:r>
      <w:r>
        <w:rPr>
          <w:rFonts w:hint="eastAsia"/>
        </w:rPr>
        <w:t>用</w:t>
      </w:r>
      <w:r>
        <w:t>微调后的TCN模型对临床建模队列中的ECG数据进行推理，生成</w:t>
      </w:r>
      <w:r>
        <w:rPr>
          <w:rFonts w:hint="eastAsia"/>
        </w:rPr>
        <w:t>ECG临床相关风险指数，</w:t>
      </w:r>
      <w:r>
        <w:t>并将其作为心电来源变量输入后续多源融合XGBoost模型</w:t>
      </w:r>
      <w:r>
        <w:rPr>
          <w:rFonts w:hint="eastAsia"/>
        </w:rPr>
        <w:t>。</w:t>
      </w:r>
    </w:p>
    <w:p w14:paraId="1C1A5708">
      <w:pPr>
        <w:pStyle w:val="3"/>
        <w:ind w:firstLine="560"/>
      </w:pPr>
      <w:bookmarkStart w:id="72" w:name="_Toc25760"/>
      <w:r>
        <w:rPr>
          <w:rFonts w:hint="eastAsia"/>
        </w:rPr>
        <w:t>（一）</w:t>
      </w:r>
      <w:bookmarkEnd w:id="70"/>
      <w:r>
        <w:rPr>
          <w:rFonts w:hint="eastAsia"/>
        </w:rPr>
        <w:t>外部心电数据风险模式学习</w:t>
      </w:r>
      <w:bookmarkEnd w:id="72"/>
    </w:p>
    <w:p w14:paraId="3989990F">
      <w:pPr>
        <w:ind w:firstLine="480"/>
      </w:pPr>
      <w:r>
        <w:t>外部训练阶段的建模对象为ECG波形中的高危风险模式，本文结合猝死相关心电、恶性室性心律失常心电、正常心电及一般异常心电数据训练TCN模型，使其分别学习猝死前异常变化、室速</w:t>
      </w:r>
      <w:r>
        <w:rPr>
          <w:rFonts w:hint="eastAsia"/>
        </w:rPr>
        <w:t>、</w:t>
      </w:r>
      <w:r>
        <w:t>室颤等高危节律、正常心电参照和常见异常心电形态。外部心电数据组成与学习目标</w:t>
      </w:r>
      <w:r>
        <w:rPr>
          <w:rFonts w:hint="eastAsia"/>
        </w:rPr>
        <w:t>见表8。</w:t>
      </w:r>
    </w:p>
    <w:p w14:paraId="6EC1B567">
      <w:pPr>
        <w:ind w:firstLine="480"/>
      </w:pPr>
      <w:r>
        <w:rPr>
          <w:rFonts w:hint="eastAsia"/>
        </w:rPr>
        <w:t>该定义并不</w:t>
      </w:r>
      <w:r>
        <w:t>完全等同于真实心源性猝死死亡病例</w:t>
      </w:r>
      <w:r>
        <w:rPr>
          <w:rFonts w:hint="eastAsia"/>
        </w:rPr>
        <w:t>，</w:t>
      </w:r>
      <w:r>
        <w:t>而是用于帮助模型学习ECG层面的病理风险信息。随后预训练模型被迁移至</w:t>
      </w:r>
      <w:r>
        <w:rPr>
          <w:rFonts w:hint="eastAsia"/>
        </w:rPr>
        <w:t>临床数据</w:t>
      </w:r>
      <w:r>
        <w:t>，并结合MIMIC临床结局标签进行微调，最终生成可融合进临床XGBoost模型的ECG临床相关风险指数字段</w:t>
      </w:r>
      <w:r>
        <w:rPr>
          <w:rFonts w:hint="eastAsia"/>
        </w:rPr>
        <w:t>。</w:t>
      </w:r>
    </w:p>
    <w:p w14:paraId="18593245">
      <w:pPr>
        <w:pStyle w:val="5"/>
        <w:ind w:firstLine="480"/>
      </w:pPr>
      <w:bookmarkStart w:id="73" w:name="_Toc15225"/>
      <w:r>
        <w:t>表</w:t>
      </w:r>
      <w:r>
        <w:fldChar w:fldCharType="begin"/>
      </w:r>
      <w:r>
        <w:instrText xml:space="preserve"> SEQ 表 \* ARABIC </w:instrText>
      </w:r>
      <w:r>
        <w:fldChar w:fldCharType="separate"/>
      </w:r>
      <w:r>
        <w:t>8</w:t>
      </w:r>
      <w:r>
        <w:fldChar w:fldCharType="end"/>
      </w:r>
      <w:bookmarkStart w:id="74" w:name="_Toc8886"/>
      <w:r>
        <w:rPr>
          <w:rFonts w:hint="eastAsia"/>
        </w:rPr>
        <w:t xml:space="preserve"> 源域心电数据组成与表型定义</w:t>
      </w:r>
      <w:bookmarkEnd w:id="73"/>
      <w:bookmarkEnd w:id="74"/>
    </w:p>
    <w:tbl>
      <w:tblPr>
        <w:tblStyle w:val="16"/>
        <w:tblW w:w="4998"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04"/>
        <w:gridCol w:w="1280"/>
        <w:gridCol w:w="1371"/>
        <w:gridCol w:w="1632"/>
        <w:gridCol w:w="2332"/>
      </w:tblGrid>
      <w:tr w14:paraId="56D3BE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072" w:type="pct"/>
            <w:tcBorders>
              <w:top w:val="single" w:color="000000" w:sz="12" w:space="0"/>
              <w:left w:val="nil"/>
              <w:bottom w:val="nil"/>
              <w:right w:val="nil"/>
              <w:tl2br w:val="nil"/>
            </w:tcBorders>
            <w:shd w:val="clear" w:color="auto" w:fill="FFFFFF"/>
            <w:tcMar>
              <w:top w:w="-1" w:type="dxa"/>
              <w:left w:w="-1" w:type="dxa"/>
              <w:bottom w:w="-1" w:type="dxa"/>
              <w:right w:w="-1" w:type="dxa"/>
            </w:tcMar>
            <w:vAlign w:val="center"/>
          </w:tcPr>
          <w:p w14:paraId="30EA52AA">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数据集</w:t>
            </w:r>
          </w:p>
        </w:tc>
        <w:tc>
          <w:tcPr>
            <w:tcW w:w="762" w:type="pct"/>
            <w:tcBorders>
              <w:top w:val="single" w:color="000000" w:sz="12" w:space="0"/>
              <w:left w:val="nil"/>
              <w:bottom w:val="nil"/>
              <w:right w:val="nil"/>
            </w:tcBorders>
            <w:shd w:val="clear" w:color="auto" w:fill="FFFFFF"/>
            <w:tcMar>
              <w:top w:w="-1" w:type="dxa"/>
              <w:left w:w="-1" w:type="dxa"/>
              <w:bottom w:w="-1" w:type="dxa"/>
              <w:right w:w="-1" w:type="dxa"/>
            </w:tcMar>
            <w:vAlign w:val="center"/>
          </w:tcPr>
          <w:p w14:paraId="2872162E">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数据含义</w:t>
            </w:r>
          </w:p>
        </w:tc>
        <w:tc>
          <w:tcPr>
            <w:tcW w:w="815" w:type="pct"/>
            <w:tcBorders>
              <w:top w:val="single" w:color="000000" w:sz="12" w:space="0"/>
              <w:left w:val="nil"/>
              <w:bottom w:val="nil"/>
              <w:right w:val="nil"/>
            </w:tcBorders>
            <w:shd w:val="clear" w:color="auto" w:fill="FFFFFF"/>
            <w:tcMar>
              <w:top w:w="-1" w:type="dxa"/>
              <w:left w:w="-1" w:type="dxa"/>
              <w:bottom w:w="-1" w:type="dxa"/>
              <w:right w:w="-1" w:type="dxa"/>
            </w:tcMar>
            <w:vAlign w:val="center"/>
          </w:tcPr>
          <w:p w14:paraId="3BC9B50F">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研究角色</w:t>
            </w:r>
          </w:p>
        </w:tc>
        <w:tc>
          <w:tcPr>
            <w:tcW w:w="968" w:type="pct"/>
            <w:tcBorders>
              <w:top w:val="single" w:color="000000" w:sz="12" w:space="0"/>
              <w:left w:val="nil"/>
              <w:bottom w:val="nil"/>
              <w:right w:val="nil"/>
            </w:tcBorders>
            <w:shd w:val="clear" w:color="auto" w:fill="FFFFFF"/>
            <w:tcMar>
              <w:top w:w="-1" w:type="dxa"/>
              <w:left w:w="-1" w:type="dxa"/>
              <w:bottom w:w="-1" w:type="dxa"/>
              <w:right w:w="-1" w:type="dxa"/>
            </w:tcMar>
            <w:vAlign w:val="center"/>
          </w:tcPr>
          <w:p w14:paraId="4433CBD4">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表型定义</w:t>
            </w:r>
          </w:p>
        </w:tc>
        <w:tc>
          <w:tcPr>
            <w:tcW w:w="1379" w:type="pct"/>
            <w:tcBorders>
              <w:top w:val="single" w:color="000000" w:sz="12" w:space="0"/>
              <w:left w:val="nil"/>
              <w:bottom w:val="nil"/>
              <w:right w:val="nil"/>
            </w:tcBorders>
            <w:shd w:val="clear" w:color="auto" w:fill="FFFFFF"/>
            <w:tcMar>
              <w:top w:w="-1" w:type="dxa"/>
              <w:left w:w="-1" w:type="dxa"/>
              <w:bottom w:w="-1" w:type="dxa"/>
              <w:right w:w="-1" w:type="dxa"/>
            </w:tcMar>
            <w:vAlign w:val="center"/>
          </w:tcPr>
          <w:p w14:paraId="121F5385">
            <w:pPr>
              <w:widowControl/>
              <w:snapToGrid w:val="0"/>
              <w:spacing w:line="240" w:lineRule="auto"/>
              <w:ind w:firstLine="0" w:firstLineChars="0"/>
              <w:jc w:val="center"/>
              <w:rPr>
                <w:rFonts w:cs="Times New Roman"/>
                <w:b/>
                <w:color w:val="000000"/>
                <w:spacing w:val="4"/>
                <w:kern w:val="0"/>
              </w:rPr>
            </w:pPr>
            <w:r>
              <w:rPr>
                <w:rFonts w:hint="eastAsia" w:cs="Times New Roman"/>
                <w:b/>
                <w:color w:val="000000"/>
                <w:spacing w:val="4"/>
                <w:kern w:val="0"/>
              </w:rPr>
              <w:t>作用</w:t>
            </w:r>
          </w:p>
        </w:tc>
      </w:tr>
      <w:tr w14:paraId="0E863D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072"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142FD7EA">
            <w:pPr>
              <w:widowControl/>
              <w:snapToGrid w:val="0"/>
              <w:spacing w:line="240" w:lineRule="auto"/>
              <w:ind w:firstLine="0" w:firstLineChars="0"/>
              <w:jc w:val="center"/>
              <w:rPr>
                <w:rFonts w:cs="Times New Roman"/>
                <w:color w:val="000000"/>
                <w:spacing w:val="4"/>
                <w:kern w:val="0"/>
              </w:rPr>
            </w:pPr>
            <w:bookmarkStart w:id="75" w:name="_Toc8074"/>
            <w:bookmarkStart w:id="76" w:name="二tcn模型结构与源域识别结果"/>
            <w:r>
              <w:rPr>
                <w:rFonts w:hint="eastAsia" w:cs="Times New Roman"/>
                <w:color w:val="000000"/>
                <w:spacing w:val="4"/>
                <w:kern w:val="0"/>
              </w:rPr>
              <w:t>PTB-XL</w:t>
            </w:r>
          </w:p>
        </w:tc>
        <w:tc>
          <w:tcPr>
            <w:tcW w:w="762"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0A7AECE6">
            <w:pPr>
              <w:widowControl/>
              <w:snapToGrid w:val="0"/>
              <w:spacing w:line="240" w:lineRule="auto"/>
              <w:ind w:firstLine="0" w:firstLineChars="0"/>
              <w:jc w:val="center"/>
              <w:rPr>
                <w:rFonts w:cs="Times New Roman"/>
                <w:color w:val="000000"/>
                <w:spacing w:val="4"/>
                <w:kern w:val="0"/>
              </w:rPr>
            </w:pPr>
            <w:r>
              <w:rPr>
                <w:rFonts w:hAnsi="宋体" w:cs="宋体"/>
                <w:szCs w:val="24"/>
              </w:rPr>
              <w:t>临床导联心电</w:t>
            </w:r>
          </w:p>
        </w:tc>
        <w:tc>
          <w:tcPr>
            <w:tcW w:w="815"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28DEF292">
            <w:pPr>
              <w:widowControl/>
              <w:snapToGrid w:val="0"/>
              <w:spacing w:line="240" w:lineRule="auto"/>
              <w:ind w:firstLine="0" w:firstLineChars="0"/>
              <w:jc w:val="center"/>
              <w:rPr>
                <w:rFonts w:cs="Times New Roman"/>
                <w:color w:val="000000"/>
                <w:spacing w:val="4"/>
                <w:kern w:val="0"/>
              </w:rPr>
            </w:pPr>
            <w:r>
              <w:rPr>
                <w:rFonts w:hAnsi="宋体" w:cs="宋体"/>
                <w:szCs w:val="24"/>
              </w:rPr>
              <w:t>心电形态差异</w:t>
            </w:r>
          </w:p>
        </w:tc>
        <w:tc>
          <w:tcPr>
            <w:tcW w:w="968"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0C0C9BAA">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对照心电表型</w:t>
            </w:r>
          </w:p>
        </w:tc>
        <w:tc>
          <w:tcPr>
            <w:tcW w:w="1379" w:type="pct"/>
            <w:tcBorders>
              <w:top w:val="single" w:color="auto" w:sz="4" w:space="0"/>
              <w:left w:val="nil"/>
              <w:bottom w:val="nil"/>
              <w:right w:val="nil"/>
            </w:tcBorders>
            <w:shd w:val="clear" w:color="auto" w:fill="FFFFFF"/>
            <w:tcMar>
              <w:top w:w="-1" w:type="dxa"/>
              <w:left w:w="-1" w:type="dxa"/>
              <w:bottom w:w="-1" w:type="dxa"/>
              <w:right w:w="-1" w:type="dxa"/>
            </w:tcMar>
            <w:vAlign w:val="center"/>
          </w:tcPr>
          <w:p w14:paraId="5ABC8D51">
            <w:pPr>
              <w:widowControl/>
              <w:snapToGrid w:val="0"/>
              <w:spacing w:line="240" w:lineRule="auto"/>
              <w:ind w:firstLine="0" w:firstLineChars="0"/>
              <w:jc w:val="center"/>
              <w:rPr>
                <w:rFonts w:cs="Times New Roman"/>
                <w:color w:val="000000"/>
                <w:spacing w:val="4"/>
                <w:kern w:val="0"/>
              </w:rPr>
            </w:pPr>
            <w:r>
              <w:rPr>
                <w:rFonts w:hAnsi="宋体" w:cs="宋体"/>
                <w:szCs w:val="24"/>
              </w:rPr>
              <w:t>提高模型</w:t>
            </w:r>
            <w:r>
              <w:rPr>
                <w:rFonts w:hint="eastAsia" w:cs="Times New Roman"/>
                <w:color w:val="000000"/>
                <w:spacing w:val="4"/>
                <w:kern w:val="0"/>
              </w:rPr>
              <w:t>ECG泛化能力</w:t>
            </w:r>
          </w:p>
        </w:tc>
      </w:tr>
      <w:tr w14:paraId="0D255D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072" w:type="pct"/>
            <w:tcBorders>
              <w:top w:val="nil"/>
              <w:left w:val="nil"/>
              <w:bottom w:val="nil"/>
              <w:right w:val="nil"/>
            </w:tcBorders>
            <w:shd w:val="clear" w:color="auto" w:fill="FFFFFF"/>
            <w:tcMar>
              <w:top w:w="-1" w:type="dxa"/>
              <w:left w:w="-1" w:type="dxa"/>
              <w:bottom w:w="-1" w:type="dxa"/>
              <w:right w:w="-1" w:type="dxa"/>
            </w:tcMar>
            <w:vAlign w:val="center"/>
          </w:tcPr>
          <w:p w14:paraId="4F04B30E">
            <w:pPr>
              <w:widowControl/>
              <w:snapToGrid w:val="0"/>
              <w:spacing w:line="240" w:lineRule="auto"/>
              <w:ind w:firstLine="0" w:firstLineChars="0"/>
              <w:jc w:val="center"/>
              <w:rPr>
                <w:rFonts w:cs="Times New Roman"/>
                <w:color w:val="000000"/>
                <w:spacing w:val="4"/>
                <w:kern w:val="0"/>
              </w:rPr>
            </w:pPr>
            <w:r>
              <w:rPr>
                <w:rFonts w:cs="Times New Roman"/>
                <w:color w:val="000000"/>
                <w:spacing w:val="4"/>
                <w:kern w:val="0"/>
              </w:rPr>
              <w:t>MIMIC-IV-ECG</w:t>
            </w:r>
          </w:p>
        </w:tc>
        <w:tc>
          <w:tcPr>
            <w:tcW w:w="762" w:type="pct"/>
            <w:tcBorders>
              <w:top w:val="nil"/>
              <w:left w:val="nil"/>
              <w:bottom w:val="nil"/>
              <w:right w:val="nil"/>
            </w:tcBorders>
            <w:shd w:val="clear" w:color="auto" w:fill="FFFFFF"/>
            <w:tcMar>
              <w:top w:w="-1" w:type="dxa"/>
              <w:left w:w="-1" w:type="dxa"/>
              <w:bottom w:w="-1" w:type="dxa"/>
              <w:right w:w="-1" w:type="dxa"/>
            </w:tcMar>
            <w:vAlign w:val="center"/>
          </w:tcPr>
          <w:p w14:paraId="0255F702">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临床</w:t>
            </w:r>
            <w:r>
              <w:rPr>
                <w:rFonts w:cs="Times New Roman"/>
                <w:color w:val="000000"/>
                <w:spacing w:val="4"/>
                <w:kern w:val="0"/>
              </w:rPr>
              <w:t>心电</w:t>
            </w:r>
          </w:p>
        </w:tc>
        <w:tc>
          <w:tcPr>
            <w:tcW w:w="815" w:type="pct"/>
            <w:tcBorders>
              <w:top w:val="nil"/>
              <w:left w:val="nil"/>
              <w:bottom w:val="nil"/>
              <w:right w:val="nil"/>
            </w:tcBorders>
            <w:shd w:val="clear" w:color="auto" w:fill="FFFFFF"/>
            <w:tcMar>
              <w:top w:w="-1" w:type="dxa"/>
              <w:left w:w="-1" w:type="dxa"/>
              <w:bottom w:w="-1" w:type="dxa"/>
              <w:right w:w="-1" w:type="dxa"/>
            </w:tcMar>
            <w:vAlign w:val="center"/>
          </w:tcPr>
          <w:p w14:paraId="36F1AFD0">
            <w:pPr>
              <w:widowControl/>
              <w:snapToGrid w:val="0"/>
              <w:spacing w:line="240" w:lineRule="auto"/>
              <w:ind w:firstLine="0" w:firstLineChars="0"/>
              <w:jc w:val="center"/>
              <w:rPr>
                <w:rFonts w:cs="Times New Roman"/>
                <w:color w:val="000000"/>
                <w:spacing w:val="4"/>
                <w:kern w:val="0"/>
              </w:rPr>
            </w:pPr>
            <w:r>
              <w:rPr>
                <w:rFonts w:hint="eastAsia" w:hAnsi="宋体" w:cs="宋体"/>
                <w:szCs w:val="24"/>
              </w:rPr>
              <w:t>心电</w:t>
            </w:r>
            <w:r>
              <w:rPr>
                <w:rFonts w:hAnsi="宋体" w:cs="宋体"/>
                <w:szCs w:val="24"/>
              </w:rPr>
              <w:t>适配数据</w:t>
            </w:r>
          </w:p>
        </w:tc>
        <w:tc>
          <w:tcPr>
            <w:tcW w:w="968" w:type="pct"/>
            <w:tcBorders>
              <w:top w:val="nil"/>
              <w:left w:val="nil"/>
              <w:bottom w:val="nil"/>
              <w:right w:val="nil"/>
            </w:tcBorders>
            <w:shd w:val="clear" w:color="auto" w:fill="FFFFFF"/>
            <w:tcMar>
              <w:top w:w="-1" w:type="dxa"/>
              <w:left w:w="-1" w:type="dxa"/>
              <w:bottom w:w="-1" w:type="dxa"/>
              <w:right w:w="-1" w:type="dxa"/>
            </w:tcMar>
            <w:vAlign w:val="center"/>
          </w:tcPr>
          <w:p w14:paraId="70F29F38">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目标域心电表型</w:t>
            </w:r>
          </w:p>
        </w:tc>
        <w:tc>
          <w:tcPr>
            <w:tcW w:w="1379" w:type="pct"/>
            <w:tcBorders>
              <w:top w:val="nil"/>
              <w:left w:val="nil"/>
              <w:bottom w:val="nil"/>
              <w:right w:val="nil"/>
            </w:tcBorders>
            <w:shd w:val="clear" w:color="auto" w:fill="FFFFFF"/>
            <w:tcMar>
              <w:top w:w="-1" w:type="dxa"/>
              <w:left w:w="-1" w:type="dxa"/>
              <w:bottom w:w="-1" w:type="dxa"/>
              <w:right w:w="-1" w:type="dxa"/>
            </w:tcMar>
            <w:vAlign w:val="center"/>
          </w:tcPr>
          <w:p w14:paraId="26D32453">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适应MIMIC临床波形、噪声和人群差异</w:t>
            </w:r>
          </w:p>
        </w:tc>
      </w:tr>
      <w:tr w14:paraId="4C20FB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072"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6D712C7F">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MIMIC临床表</w:t>
            </w:r>
          </w:p>
        </w:tc>
        <w:tc>
          <w:tcPr>
            <w:tcW w:w="762"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29C4E89E">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临床结局</w:t>
            </w:r>
          </w:p>
        </w:tc>
        <w:tc>
          <w:tcPr>
            <w:tcW w:w="815"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021CBF35">
            <w:pPr>
              <w:widowControl/>
              <w:snapToGrid w:val="0"/>
              <w:spacing w:line="240" w:lineRule="auto"/>
              <w:ind w:firstLine="0" w:firstLineChars="0"/>
              <w:jc w:val="center"/>
              <w:rPr>
                <w:rFonts w:cs="Times New Roman"/>
                <w:color w:val="000000"/>
                <w:spacing w:val="4"/>
                <w:kern w:val="0"/>
              </w:rPr>
            </w:pPr>
            <w:r>
              <w:rPr>
                <w:rFonts w:hint="eastAsia" w:hAnsi="宋体" w:cs="宋体"/>
                <w:szCs w:val="24"/>
              </w:rPr>
              <w:t>监督微调数据</w:t>
            </w:r>
          </w:p>
        </w:tc>
        <w:tc>
          <w:tcPr>
            <w:tcW w:w="968"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23E00483">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死亡相关心电风险表型</w:t>
            </w:r>
          </w:p>
        </w:tc>
        <w:tc>
          <w:tcPr>
            <w:tcW w:w="1379" w:type="pct"/>
            <w:tcBorders>
              <w:top w:val="nil"/>
              <w:left w:val="nil"/>
              <w:bottom w:val="single" w:color="000000" w:sz="12" w:space="0"/>
              <w:right w:val="nil"/>
            </w:tcBorders>
            <w:shd w:val="clear" w:color="auto" w:fill="FFFFFF"/>
            <w:tcMar>
              <w:top w:w="-1" w:type="dxa"/>
              <w:left w:w="-1" w:type="dxa"/>
              <w:bottom w:w="-1" w:type="dxa"/>
              <w:right w:w="-1" w:type="dxa"/>
            </w:tcMar>
            <w:vAlign w:val="center"/>
          </w:tcPr>
          <w:p w14:paraId="6419C82B">
            <w:pPr>
              <w:widowControl/>
              <w:snapToGrid w:val="0"/>
              <w:spacing w:line="240" w:lineRule="auto"/>
              <w:ind w:firstLine="0" w:firstLineChars="0"/>
              <w:jc w:val="center"/>
              <w:rPr>
                <w:rFonts w:cs="Times New Roman"/>
                <w:color w:val="000000"/>
                <w:spacing w:val="4"/>
                <w:kern w:val="0"/>
              </w:rPr>
            </w:pPr>
            <w:r>
              <w:rPr>
                <w:rFonts w:hint="eastAsia" w:cs="Times New Roman"/>
                <w:color w:val="000000"/>
                <w:spacing w:val="4"/>
                <w:kern w:val="0"/>
              </w:rPr>
              <w:t>使ECG表征与住院高危结局建立关联</w:t>
            </w:r>
          </w:p>
        </w:tc>
      </w:tr>
      <w:bookmarkEnd w:id="71"/>
    </w:tbl>
    <w:p w14:paraId="285979D5">
      <w:pPr>
        <w:pStyle w:val="3"/>
        <w:ind w:firstLine="560"/>
      </w:pPr>
      <w:bookmarkStart w:id="77" w:name="_Toc28874"/>
      <w:r>
        <w:rPr>
          <w:rFonts w:hint="eastAsia"/>
        </w:rPr>
        <w:t>（二）TCN模型结构与源域识别结果</w:t>
      </w:r>
      <w:bookmarkEnd w:id="75"/>
      <w:bookmarkEnd w:id="77"/>
    </w:p>
    <w:p w14:paraId="0BA3AAF0">
      <w:pPr>
        <w:ind w:firstLine="480"/>
      </w:pPr>
      <w:r>
        <w:rPr>
          <w:rFonts w:hint="eastAsia"/>
        </w:rPr>
        <w:t>心电信号具有明显的时序依赖特征。高危片段常表现为节律紊乱、局部波形突变或跨心动周期的异常变化。TCN通过因果卷积和空洞卷积扩大感受野，可以在保持时间顺序约束的同时捕捉较长范围内的ECG动态特征，因此适合用于源域心电表型识别。</w:t>
      </w:r>
    </w:p>
    <w:p w14:paraId="20E16266">
      <w:pPr>
        <w:ind w:firstLine="480"/>
      </w:pPr>
      <w:r>
        <w:rPr>
          <w:rFonts w:hint="eastAsia"/>
        </w:rPr>
        <w:t>源域ECG记录首先按60s非重叠窗口切分，再统一重采样至3000点，并进行段内Z-score标准化。图5展示了PTB-XL正常样本在原始片段、重采样和标准化后的波形变化。该处理能够统一不同数据库的采样率和幅值尺度，使不同来源的ECG片段满足TCN模型输入要求。</w:t>
      </w:r>
    </w:p>
    <w:p w14:paraId="0188B927">
      <w:pPr>
        <w:pStyle w:val="7"/>
        <w:spacing w:line="240" w:lineRule="auto"/>
        <w:ind w:firstLine="0" w:firstLineChars="0"/>
        <w:rPr>
          <w:rFonts w:eastAsia="宋体"/>
        </w:rPr>
      </w:pPr>
      <w:r>
        <w:rPr>
          <w:rFonts w:hint="eastAsia" w:eastAsia="宋体"/>
        </w:rPr>
        <w:drawing>
          <wp:inline distT="0" distB="0" distL="114300" distR="114300">
            <wp:extent cx="5266055" cy="3150870"/>
            <wp:effectExtent l="0" t="0" r="4445" b="11430"/>
            <wp:docPr id="1" name="图片 1" descr="PTBXL_preprocess_demo_old_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TBXL_preprocess_demo_old_style"/>
                    <pic:cNvPicPr>
                      <a:picLocks noChangeAspect="1"/>
                    </pic:cNvPicPr>
                  </pic:nvPicPr>
                  <pic:blipFill>
                    <a:blip r:embed="rId24"/>
                    <a:stretch>
                      <a:fillRect/>
                    </a:stretch>
                  </pic:blipFill>
                  <pic:spPr>
                    <a:xfrm>
                      <a:off x="0" y="0"/>
                      <a:ext cx="5266055" cy="3150870"/>
                    </a:xfrm>
                    <a:prstGeom prst="rect">
                      <a:avLst/>
                    </a:prstGeom>
                  </pic:spPr>
                </pic:pic>
              </a:graphicData>
            </a:graphic>
          </wp:inline>
        </w:drawing>
      </w:r>
    </w:p>
    <w:p w14:paraId="7533B554">
      <w:pPr>
        <w:pStyle w:val="5"/>
        <w:ind w:firstLine="480"/>
      </w:pPr>
      <w:bookmarkStart w:id="78" w:name="_Toc27261"/>
      <w:r>
        <w:t>图</w:t>
      </w:r>
      <w:r>
        <w:fldChar w:fldCharType="begin"/>
      </w:r>
      <w:r>
        <w:instrText xml:space="preserve"> SEQ 图 \* ARABIC </w:instrText>
      </w:r>
      <w:r>
        <w:fldChar w:fldCharType="separate"/>
      </w:r>
      <w:r>
        <w:t>5</w:t>
      </w:r>
      <w:r>
        <w:fldChar w:fldCharType="end"/>
      </w:r>
      <w:bookmarkStart w:id="79" w:name="_Toc27016"/>
      <w:r>
        <w:rPr>
          <w:rFonts w:hint="eastAsia"/>
        </w:rPr>
        <w:t xml:space="preserve"> 源域ECG片段预处理示例</w:t>
      </w:r>
      <w:bookmarkEnd w:id="78"/>
      <w:bookmarkEnd w:id="79"/>
    </w:p>
    <w:p w14:paraId="5BC03F24">
      <w:pPr>
        <w:ind w:firstLine="480"/>
      </w:pPr>
      <w:r>
        <w:t>模型输入为预处理后的标准ECG波形，统一表示为12个导联</w:t>
      </w:r>
      <w:r>
        <w:rPr>
          <w:rFonts w:hint="eastAsia"/>
        </w:rPr>
        <w:t>，</w:t>
      </w:r>
      <w:r>
        <w:t>学习临床ECG中常见的异常形态</w:t>
      </w:r>
      <w:r>
        <w:rPr>
          <w:rFonts w:hint="eastAsia"/>
        </w:rPr>
        <w:t>，</w:t>
      </w:r>
      <w:r>
        <w:t>任务设置为正常心电与异常心电二分类</w:t>
      </w:r>
      <w:r>
        <w:rPr>
          <w:rFonts w:hint="eastAsia"/>
        </w:rPr>
        <w:t>。模型结构与训练配置见表9。</w:t>
      </w:r>
    </w:p>
    <w:p w14:paraId="7943358C">
      <w:pPr>
        <w:pStyle w:val="5"/>
        <w:ind w:firstLine="480"/>
      </w:pPr>
      <w:bookmarkStart w:id="80" w:name="_Toc12625"/>
      <w:r>
        <w:t>表</w:t>
      </w:r>
      <w:r>
        <w:fldChar w:fldCharType="begin"/>
      </w:r>
      <w:r>
        <w:instrText xml:space="preserve"> SEQ 表 \* ARABIC </w:instrText>
      </w:r>
      <w:r>
        <w:fldChar w:fldCharType="separate"/>
      </w:r>
      <w:r>
        <w:t>9</w:t>
      </w:r>
      <w:r>
        <w:fldChar w:fldCharType="end"/>
      </w:r>
      <w:bookmarkStart w:id="81" w:name="_Toc8117"/>
      <w:r>
        <w:rPr>
          <w:rFonts w:hint="eastAsia"/>
        </w:rPr>
        <w:t xml:space="preserve"> TCN模型结构与训练配置</w:t>
      </w:r>
      <w:bookmarkEnd w:id="80"/>
      <w:bookmarkEnd w:id="81"/>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3800"/>
        <w:gridCol w:w="3164"/>
      </w:tblGrid>
      <w:tr w14:paraId="2644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56" w:type="dxa"/>
            <w:tcBorders>
              <w:top w:val="single" w:color="000000" w:sz="12" w:space="0"/>
              <w:left w:val="nil"/>
              <w:bottom w:val="single" w:color="000000" w:sz="4" w:space="0"/>
              <w:right w:val="nil"/>
              <w:tl2br w:val="nil"/>
            </w:tcBorders>
            <w:shd w:val="clear" w:color="auto" w:fill="FFFFFF"/>
          </w:tcPr>
          <w:p w14:paraId="226A242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模块</w:t>
            </w:r>
          </w:p>
        </w:tc>
        <w:tc>
          <w:tcPr>
            <w:tcW w:w="3800" w:type="dxa"/>
            <w:tcBorders>
              <w:top w:val="single" w:color="000000" w:sz="12" w:space="0"/>
              <w:left w:val="nil"/>
              <w:bottom w:val="single" w:color="000000" w:sz="4" w:space="0"/>
              <w:right w:val="nil"/>
            </w:tcBorders>
            <w:shd w:val="clear" w:color="auto" w:fill="FFFFFF"/>
          </w:tcPr>
          <w:p w14:paraId="5CFA0CB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当前设置</w:t>
            </w:r>
          </w:p>
        </w:tc>
        <w:tc>
          <w:tcPr>
            <w:tcW w:w="3164" w:type="dxa"/>
            <w:tcBorders>
              <w:top w:val="single" w:color="000000" w:sz="12" w:space="0"/>
              <w:left w:val="nil"/>
              <w:bottom w:val="single" w:color="000000" w:sz="4" w:space="0"/>
              <w:right w:val="nil"/>
            </w:tcBorders>
            <w:shd w:val="clear" w:color="auto" w:fill="FFFFFF"/>
          </w:tcPr>
          <w:p w14:paraId="7FC7925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作用</w:t>
            </w:r>
          </w:p>
        </w:tc>
      </w:tr>
      <w:tr w14:paraId="07F3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single" w:color="000000" w:sz="4" w:space="0"/>
              <w:left w:val="nil"/>
              <w:bottom w:val="nil"/>
              <w:right w:val="nil"/>
            </w:tcBorders>
            <w:shd w:val="clear" w:color="auto" w:fill="FFFFFF"/>
          </w:tcPr>
          <w:p w14:paraId="3ECD692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输入层</w:t>
            </w:r>
          </w:p>
        </w:tc>
        <w:tc>
          <w:tcPr>
            <w:tcW w:w="3800" w:type="dxa"/>
            <w:tcBorders>
              <w:top w:val="single" w:color="000000" w:sz="4" w:space="0"/>
              <w:left w:val="nil"/>
              <w:bottom w:val="nil"/>
              <w:right w:val="nil"/>
            </w:tcBorders>
            <w:shd w:val="clear" w:color="auto" w:fill="FFFFFF"/>
          </w:tcPr>
          <w:p w14:paraId="6946D08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12导联×1000点</w:t>
            </w:r>
          </w:p>
        </w:tc>
        <w:tc>
          <w:tcPr>
            <w:tcW w:w="3164" w:type="dxa"/>
            <w:tcBorders>
              <w:top w:val="single" w:color="000000" w:sz="4" w:space="0"/>
              <w:left w:val="nil"/>
              <w:bottom w:val="nil"/>
              <w:right w:val="nil"/>
            </w:tcBorders>
            <w:shd w:val="clear" w:color="auto" w:fill="FFFFFF"/>
          </w:tcPr>
          <w:p w14:paraId="5CBADE6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表示10秒、100Hz标准化</w:t>
            </w:r>
          </w:p>
        </w:tc>
      </w:tr>
      <w:tr w14:paraId="6DA1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31F6885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主体结构</w:t>
            </w:r>
          </w:p>
        </w:tc>
        <w:tc>
          <w:tcPr>
            <w:tcW w:w="3800" w:type="dxa"/>
            <w:tcBorders>
              <w:top w:val="nil"/>
              <w:left w:val="nil"/>
              <w:bottom w:val="nil"/>
              <w:right w:val="nil"/>
            </w:tcBorders>
            <w:shd w:val="clear" w:color="auto" w:fill="FFFFFF"/>
          </w:tcPr>
          <w:p w14:paraId="59D99FB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6层TCN残差结构</w:t>
            </w:r>
          </w:p>
        </w:tc>
        <w:tc>
          <w:tcPr>
            <w:tcW w:w="3164" w:type="dxa"/>
            <w:tcBorders>
              <w:top w:val="nil"/>
              <w:left w:val="nil"/>
              <w:bottom w:val="nil"/>
              <w:right w:val="nil"/>
            </w:tcBorders>
            <w:shd w:val="clear" w:color="auto" w:fill="FFFFFF"/>
          </w:tcPr>
          <w:p w14:paraId="0CD1F49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捕捉跨心动周期时序特征</w:t>
            </w:r>
          </w:p>
        </w:tc>
      </w:tr>
      <w:tr w14:paraId="5A08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5FAF38F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通道数</w:t>
            </w:r>
          </w:p>
        </w:tc>
        <w:tc>
          <w:tcPr>
            <w:tcW w:w="3800" w:type="dxa"/>
            <w:tcBorders>
              <w:top w:val="nil"/>
              <w:left w:val="nil"/>
              <w:bottom w:val="nil"/>
              <w:right w:val="nil"/>
            </w:tcBorders>
            <w:shd w:val="clear" w:color="auto" w:fill="FFFFFF"/>
          </w:tcPr>
          <w:p w14:paraId="602836F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[48,96,128,160,160,160]</w:t>
            </w:r>
          </w:p>
        </w:tc>
        <w:tc>
          <w:tcPr>
            <w:tcW w:w="3164" w:type="dxa"/>
            <w:tcBorders>
              <w:top w:val="nil"/>
              <w:left w:val="nil"/>
              <w:bottom w:val="nil"/>
              <w:right w:val="nil"/>
            </w:tcBorders>
            <w:shd w:val="clear" w:color="auto" w:fill="FFFFFF"/>
          </w:tcPr>
          <w:p w14:paraId="01D16B2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逐层增强时序表征能力</w:t>
            </w:r>
          </w:p>
        </w:tc>
      </w:tr>
      <w:tr w14:paraId="413C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213AC67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膨胀率</w:t>
            </w:r>
          </w:p>
        </w:tc>
        <w:tc>
          <w:tcPr>
            <w:tcW w:w="3800" w:type="dxa"/>
            <w:tcBorders>
              <w:top w:val="nil"/>
              <w:left w:val="nil"/>
              <w:bottom w:val="nil"/>
              <w:right w:val="nil"/>
            </w:tcBorders>
            <w:shd w:val="clear" w:color="auto" w:fill="FFFFFF"/>
          </w:tcPr>
          <w:p w14:paraId="66DC300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[1,2,4,8,16,32]</w:t>
            </w:r>
          </w:p>
        </w:tc>
        <w:tc>
          <w:tcPr>
            <w:tcW w:w="3164" w:type="dxa"/>
            <w:tcBorders>
              <w:top w:val="nil"/>
              <w:left w:val="nil"/>
              <w:bottom w:val="nil"/>
              <w:right w:val="nil"/>
            </w:tcBorders>
            <w:shd w:val="clear" w:color="auto" w:fill="FFFFFF"/>
          </w:tcPr>
          <w:p w14:paraId="282C296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扩大时间感受野</w:t>
            </w:r>
          </w:p>
        </w:tc>
      </w:tr>
      <w:tr w14:paraId="5E66D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424C85E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卷积核</w:t>
            </w:r>
          </w:p>
        </w:tc>
        <w:tc>
          <w:tcPr>
            <w:tcW w:w="3800" w:type="dxa"/>
            <w:tcBorders>
              <w:top w:val="nil"/>
              <w:left w:val="nil"/>
              <w:bottom w:val="nil"/>
              <w:right w:val="nil"/>
            </w:tcBorders>
            <w:shd w:val="clear" w:color="auto" w:fill="FFFFFF"/>
          </w:tcPr>
          <w:p w14:paraId="0CBAB68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w:t>
            </w:r>
          </w:p>
        </w:tc>
        <w:tc>
          <w:tcPr>
            <w:tcW w:w="3164" w:type="dxa"/>
            <w:tcBorders>
              <w:top w:val="nil"/>
              <w:left w:val="nil"/>
              <w:bottom w:val="nil"/>
              <w:right w:val="nil"/>
            </w:tcBorders>
            <w:shd w:val="clear" w:color="auto" w:fill="FFFFFF"/>
          </w:tcPr>
          <w:p w14:paraId="71F851C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提取局部波形形态</w:t>
            </w:r>
          </w:p>
        </w:tc>
      </w:tr>
      <w:tr w14:paraId="50A98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2B69CAE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Dropout</w:t>
            </w:r>
          </w:p>
        </w:tc>
        <w:tc>
          <w:tcPr>
            <w:tcW w:w="3800" w:type="dxa"/>
            <w:tcBorders>
              <w:top w:val="nil"/>
              <w:left w:val="nil"/>
              <w:bottom w:val="nil"/>
              <w:right w:val="nil"/>
            </w:tcBorders>
            <w:shd w:val="clear" w:color="auto" w:fill="FFFFFF"/>
          </w:tcPr>
          <w:p w14:paraId="149A68A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0.2</w:t>
            </w:r>
          </w:p>
        </w:tc>
        <w:tc>
          <w:tcPr>
            <w:tcW w:w="3164" w:type="dxa"/>
            <w:tcBorders>
              <w:top w:val="nil"/>
              <w:left w:val="nil"/>
              <w:bottom w:val="nil"/>
              <w:right w:val="nil"/>
            </w:tcBorders>
            <w:shd w:val="clear" w:color="auto" w:fill="FFFFFF"/>
          </w:tcPr>
          <w:p w14:paraId="02AD628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降低过拟合</w:t>
            </w:r>
          </w:p>
        </w:tc>
      </w:tr>
      <w:tr w14:paraId="03954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13AD7F1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Embedding</w:t>
            </w:r>
          </w:p>
        </w:tc>
        <w:tc>
          <w:tcPr>
            <w:tcW w:w="3800" w:type="dxa"/>
            <w:tcBorders>
              <w:top w:val="nil"/>
              <w:left w:val="nil"/>
              <w:bottom w:val="nil"/>
              <w:right w:val="nil"/>
            </w:tcBorders>
            <w:shd w:val="clear" w:color="auto" w:fill="FFFFFF"/>
          </w:tcPr>
          <w:p w14:paraId="01F08FC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128维</w:t>
            </w:r>
          </w:p>
        </w:tc>
        <w:tc>
          <w:tcPr>
            <w:tcW w:w="3164" w:type="dxa"/>
            <w:tcBorders>
              <w:top w:val="nil"/>
              <w:left w:val="nil"/>
              <w:bottom w:val="nil"/>
              <w:right w:val="nil"/>
            </w:tcBorders>
            <w:shd w:val="clear" w:color="auto" w:fill="FFFFFF"/>
          </w:tcPr>
          <w:p w14:paraId="04C7E47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作为后续深度心电表征</w:t>
            </w:r>
          </w:p>
        </w:tc>
      </w:tr>
      <w:tr w14:paraId="141E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nil"/>
              <w:right w:val="nil"/>
            </w:tcBorders>
            <w:shd w:val="clear" w:color="auto" w:fill="FFFFFF"/>
          </w:tcPr>
          <w:p w14:paraId="120B51E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有效感受野</w:t>
            </w:r>
          </w:p>
        </w:tc>
        <w:tc>
          <w:tcPr>
            <w:tcW w:w="3800" w:type="dxa"/>
            <w:tcBorders>
              <w:top w:val="nil"/>
              <w:left w:val="nil"/>
              <w:bottom w:val="nil"/>
              <w:right w:val="nil"/>
            </w:tcBorders>
            <w:shd w:val="clear" w:color="auto" w:fill="FFFFFF"/>
          </w:tcPr>
          <w:p w14:paraId="57529A7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7.57秒</w:t>
            </w:r>
          </w:p>
        </w:tc>
        <w:tc>
          <w:tcPr>
            <w:tcW w:w="3164" w:type="dxa"/>
            <w:tcBorders>
              <w:top w:val="nil"/>
              <w:left w:val="nil"/>
              <w:bottom w:val="nil"/>
              <w:right w:val="nil"/>
            </w:tcBorders>
            <w:shd w:val="clear" w:color="auto" w:fill="FFFFFF"/>
          </w:tcPr>
          <w:p w14:paraId="16FD727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覆盖较长节律范围</w:t>
            </w:r>
          </w:p>
        </w:tc>
      </w:tr>
      <w:tr w14:paraId="2C3E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6" w:type="dxa"/>
            <w:tcBorders>
              <w:top w:val="nil"/>
              <w:left w:val="nil"/>
              <w:bottom w:val="single" w:color="000000" w:sz="12" w:space="0"/>
              <w:right w:val="nil"/>
            </w:tcBorders>
            <w:shd w:val="clear" w:color="auto" w:fill="FFFFFF"/>
          </w:tcPr>
          <w:p w14:paraId="664D6A6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模块</w:t>
            </w:r>
          </w:p>
        </w:tc>
        <w:tc>
          <w:tcPr>
            <w:tcW w:w="3800" w:type="dxa"/>
            <w:tcBorders>
              <w:top w:val="nil"/>
              <w:left w:val="nil"/>
              <w:bottom w:val="single" w:color="000000" w:sz="12" w:space="0"/>
              <w:right w:val="nil"/>
            </w:tcBorders>
            <w:shd w:val="clear" w:color="auto" w:fill="FFFFFF"/>
          </w:tcPr>
          <w:p w14:paraId="42F817A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当前设置</w:t>
            </w:r>
          </w:p>
        </w:tc>
        <w:tc>
          <w:tcPr>
            <w:tcW w:w="3164" w:type="dxa"/>
            <w:tcBorders>
              <w:top w:val="nil"/>
              <w:left w:val="nil"/>
              <w:bottom w:val="single" w:color="000000" w:sz="12" w:space="0"/>
              <w:right w:val="nil"/>
            </w:tcBorders>
            <w:shd w:val="clear" w:color="auto" w:fill="FFFFFF"/>
          </w:tcPr>
          <w:p w14:paraId="42B170B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作用</w:t>
            </w:r>
          </w:p>
        </w:tc>
      </w:tr>
    </w:tbl>
    <w:p w14:paraId="7F4552B5">
      <w:pPr>
        <w:ind w:firstLine="480"/>
      </w:pPr>
      <w:r>
        <w:rPr>
          <w:rFonts w:hint="eastAsia"/>
        </w:rPr>
        <w:t>从训练过程中，TCN模型在前5个训练轮次内快速收敛，训练集损失明显下降，验证集损失随后保持在较低水平如图6。准确率在训练早期迅速提升维持在较高水平，说明模型能够较快捕捉源域高危心电表型与正常心电表型之间的时序差异。学习率随epoch逐步下降，有助于模型在后期进行稳定更新，降低训练波动。</w:t>
      </w:r>
    </w:p>
    <w:p w14:paraId="2182E9F5">
      <w:pPr>
        <w:pStyle w:val="7"/>
        <w:spacing w:line="240" w:lineRule="auto"/>
        <w:ind w:firstLine="0" w:firstLineChars="0"/>
        <w:jc w:val="center"/>
        <w:rPr>
          <w:rFonts w:eastAsia="宋体"/>
        </w:rPr>
      </w:pPr>
      <w:r>
        <w:rPr>
          <w:rFonts w:hint="eastAsia" w:eastAsia="宋体"/>
        </w:rPr>
        <w:drawing>
          <wp:inline distT="0" distB="0" distL="114300" distR="114300">
            <wp:extent cx="5266690" cy="2549525"/>
            <wp:effectExtent l="0" t="0" r="3810" b="3175"/>
            <wp:docPr id="3" name="图片 3" descr="fig_training_loss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_training_loss_accuracy"/>
                    <pic:cNvPicPr>
                      <a:picLocks noChangeAspect="1"/>
                    </pic:cNvPicPr>
                  </pic:nvPicPr>
                  <pic:blipFill>
                    <a:blip r:embed="rId25"/>
                    <a:stretch>
                      <a:fillRect/>
                    </a:stretch>
                  </pic:blipFill>
                  <pic:spPr>
                    <a:xfrm>
                      <a:off x="0" y="0"/>
                      <a:ext cx="5266690" cy="2549525"/>
                    </a:xfrm>
                    <a:prstGeom prst="rect">
                      <a:avLst/>
                    </a:prstGeom>
                  </pic:spPr>
                </pic:pic>
              </a:graphicData>
            </a:graphic>
          </wp:inline>
        </w:drawing>
      </w:r>
    </w:p>
    <w:p w14:paraId="36562DC0">
      <w:pPr>
        <w:pStyle w:val="5"/>
        <w:ind w:firstLine="480"/>
      </w:pPr>
      <w:bookmarkStart w:id="82" w:name="_Toc29620"/>
      <w:r>
        <w:t>图</w:t>
      </w:r>
      <w:r>
        <w:fldChar w:fldCharType="begin"/>
      </w:r>
      <w:r>
        <w:instrText xml:space="preserve"> SEQ 图 \* ARABIC </w:instrText>
      </w:r>
      <w:r>
        <w:fldChar w:fldCharType="separate"/>
      </w:r>
      <w:r>
        <w:t>6</w:t>
      </w:r>
      <w:r>
        <w:fldChar w:fldCharType="end"/>
      </w:r>
      <w:bookmarkStart w:id="83" w:name="_Toc24158"/>
      <w:r>
        <w:rPr>
          <w:rFonts w:hint="eastAsia"/>
        </w:rPr>
        <w:t xml:space="preserve"> TCN源域模型训练过程变化</w:t>
      </w:r>
      <w:bookmarkEnd w:id="82"/>
      <w:bookmarkEnd w:id="83"/>
    </w:p>
    <w:p w14:paraId="2325FF1C">
      <w:pPr>
        <w:ind w:firstLine="480"/>
      </w:pPr>
      <w:r>
        <w:rPr>
          <w:rFonts w:hint="eastAsia"/>
        </w:rPr>
        <w:t>由图7显示，TCN模型测试集合并后取得ROC=0.916，PR=0.943。ROC曲线整体接近左上角，说明模型对高危心电表型与正常心电表型具有较强的总体区分能力；PR曲线在较大召回率范围内仍保持较高精确率，说明模型对高危表型样本具有较好的识别稳定性。</w:t>
      </w:r>
    </w:p>
    <w:p w14:paraId="03B89F48">
      <w:pPr>
        <w:pStyle w:val="7"/>
        <w:spacing w:line="240" w:lineRule="auto"/>
        <w:ind w:firstLine="0" w:firstLineChars="0"/>
        <w:rPr>
          <w:rFonts w:eastAsia="宋体"/>
        </w:rPr>
      </w:pPr>
      <w:r>
        <w:rPr>
          <w:rFonts w:hint="eastAsia" w:eastAsia="宋体"/>
        </w:rPr>
        <w:drawing>
          <wp:inline distT="0" distB="0" distL="114300" distR="114300">
            <wp:extent cx="5266690" cy="2672080"/>
            <wp:effectExtent l="0" t="0" r="3810" b="7620"/>
            <wp:docPr id="5" name="图片 5" descr="fig_ptbxl_roc_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_ptbxl_roc_pr"/>
                    <pic:cNvPicPr>
                      <a:picLocks noChangeAspect="1"/>
                    </pic:cNvPicPr>
                  </pic:nvPicPr>
                  <pic:blipFill>
                    <a:blip r:embed="rId26"/>
                    <a:stretch>
                      <a:fillRect/>
                    </a:stretch>
                  </pic:blipFill>
                  <pic:spPr>
                    <a:xfrm>
                      <a:off x="0" y="0"/>
                      <a:ext cx="5266690" cy="2672080"/>
                    </a:xfrm>
                    <a:prstGeom prst="rect">
                      <a:avLst/>
                    </a:prstGeom>
                  </pic:spPr>
                </pic:pic>
              </a:graphicData>
            </a:graphic>
          </wp:inline>
        </w:drawing>
      </w:r>
    </w:p>
    <w:p w14:paraId="5CC332EB">
      <w:pPr>
        <w:pStyle w:val="5"/>
        <w:ind w:firstLine="480"/>
      </w:pPr>
      <w:bookmarkStart w:id="84" w:name="_Toc13810"/>
      <w:r>
        <w:t>图</w:t>
      </w:r>
      <w:r>
        <w:fldChar w:fldCharType="begin"/>
      </w:r>
      <w:r>
        <w:instrText xml:space="preserve"> SEQ 图 \* ARABIC </w:instrText>
      </w:r>
      <w:r>
        <w:fldChar w:fldCharType="separate"/>
      </w:r>
      <w:r>
        <w:t>7</w:t>
      </w:r>
      <w:r>
        <w:fldChar w:fldCharType="end"/>
      </w:r>
      <w:bookmarkStart w:id="85" w:name="_Toc26906"/>
      <w:r>
        <w:rPr>
          <w:rFonts w:hint="eastAsia"/>
        </w:rPr>
        <w:t xml:space="preserve"> 源域TCN模型的ROC与PR曲线</w:t>
      </w:r>
      <w:bookmarkEnd w:id="84"/>
      <w:bookmarkEnd w:id="85"/>
    </w:p>
    <w:p w14:paraId="47855031">
      <w:pPr>
        <w:ind w:firstLine="480"/>
      </w:pPr>
      <w:r>
        <w:rPr>
          <w:rFonts w:hint="eastAsia"/>
        </w:rPr>
        <w:t>分段级混淆矩阵如图8进一步显示，在2198条PTB-XL测试心电记录中，模型正确识别异常心电916条，漏判314条；正确识别正常心电906条，误判62条。异常表型召回率为74.5%，正常表型识别率为93.6%，总体准确率为82.9%。这一结果说明，TCN能够从ECG片段中提取较稳定的高危电生理特征。</w:t>
      </w:r>
    </w:p>
    <w:p w14:paraId="60623413">
      <w:pPr>
        <w:pStyle w:val="7"/>
        <w:spacing w:line="240" w:lineRule="auto"/>
        <w:ind w:firstLine="0" w:firstLineChars="0"/>
        <w:jc w:val="center"/>
        <w:rPr>
          <w:rFonts w:eastAsia="宋体"/>
        </w:rPr>
      </w:pPr>
      <w:r>
        <w:rPr>
          <w:rFonts w:hint="eastAsia" w:eastAsia="宋体"/>
        </w:rPr>
        <w:drawing>
          <wp:inline distT="0" distB="0" distL="114300" distR="114300">
            <wp:extent cx="4607560" cy="4070985"/>
            <wp:effectExtent l="0" t="0" r="2540" b="5715"/>
            <wp:docPr id="6" name="图片 6" descr="fig_ptbxl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_ptbxl_confusion_matrix"/>
                    <pic:cNvPicPr>
                      <a:picLocks noChangeAspect="1"/>
                    </pic:cNvPicPr>
                  </pic:nvPicPr>
                  <pic:blipFill>
                    <a:blip r:embed="rId27"/>
                    <a:stretch>
                      <a:fillRect/>
                    </a:stretch>
                  </pic:blipFill>
                  <pic:spPr>
                    <a:xfrm>
                      <a:off x="0" y="0"/>
                      <a:ext cx="4607560" cy="4070985"/>
                    </a:xfrm>
                    <a:prstGeom prst="rect">
                      <a:avLst/>
                    </a:prstGeom>
                  </pic:spPr>
                </pic:pic>
              </a:graphicData>
            </a:graphic>
          </wp:inline>
        </w:drawing>
      </w:r>
    </w:p>
    <w:p w14:paraId="3274B9A9">
      <w:pPr>
        <w:pStyle w:val="5"/>
        <w:spacing w:line="240" w:lineRule="auto"/>
        <w:ind w:firstLine="0" w:firstLineChars="0"/>
      </w:pPr>
      <w:bookmarkStart w:id="86" w:name="_Toc26704"/>
      <w:r>
        <w:t>图</w:t>
      </w:r>
      <w:r>
        <w:fldChar w:fldCharType="begin"/>
      </w:r>
      <w:r>
        <w:instrText xml:space="preserve"> SEQ 图 \* ARABIC </w:instrText>
      </w:r>
      <w:r>
        <w:fldChar w:fldCharType="separate"/>
      </w:r>
      <w:r>
        <w:t>8</w:t>
      </w:r>
      <w:r>
        <w:fldChar w:fldCharType="end"/>
      </w:r>
      <w:bookmarkStart w:id="87" w:name="_Toc21818"/>
      <w:r>
        <w:rPr>
          <w:rFonts w:hint="eastAsia"/>
        </w:rPr>
        <w:t xml:space="preserve"> 源域TCN模型分段级混淆矩阵</w:t>
      </w:r>
      <w:bookmarkEnd w:id="86"/>
      <w:bookmarkEnd w:id="87"/>
    </w:p>
    <w:p w14:paraId="43034C6E">
      <w:pPr>
        <w:ind w:firstLine="480"/>
      </w:pPr>
      <w:r>
        <w:rPr>
          <w:rFonts w:hint="eastAsia"/>
        </w:rPr>
        <w:t>需要注意的是，源域识别结果只能说明模型具备区分正常心电与一般异常心电表型的能力，不能直接解释为临床死亡或心源性猝死预测能力。因此，TCN输出在后续建模中不作为最终诊断结果，而作为ECG层面的迁移表征变量，并进一步通过MIMIC目标域适配和死亡结局微调，使其更贴近住院场景下的短期高危风险评估。</w:t>
      </w:r>
    </w:p>
    <w:bookmarkEnd w:id="76"/>
    <w:p w14:paraId="7097EF1A">
      <w:pPr>
        <w:pStyle w:val="3"/>
        <w:ind w:firstLine="560"/>
      </w:pPr>
      <w:bookmarkStart w:id="88" w:name="_Toc28283"/>
      <w:bookmarkStart w:id="89" w:name="_Toc21678"/>
      <w:bookmarkStart w:id="90" w:name="三心电高危表型强度的目标域迁移"/>
      <w:r>
        <w:rPr>
          <w:rFonts w:hint="eastAsia"/>
        </w:rPr>
        <w:t>（三）心电高危表型强度的目标域迁移</w:t>
      </w:r>
      <w:bookmarkEnd w:id="88"/>
      <w:bookmarkEnd w:id="89"/>
    </w:p>
    <w:p w14:paraId="0FBC9BCE">
      <w:pPr>
        <w:ind w:firstLine="480"/>
      </w:pPr>
      <w:r>
        <w:rPr>
          <w:rFonts w:hint="eastAsia"/>
        </w:rPr>
        <w:t>源域模型训练完成后，</w:t>
      </w:r>
      <w:r>
        <w:t>TCN模型已具备识别一般异常ECG模式的能力，但PTB-XL与MIMIC在疾病谱、采集场景和数据质量方面存在差异</w:t>
      </w:r>
      <w:r>
        <w:rPr>
          <w:rFonts w:hint="eastAsia"/>
        </w:rPr>
        <w:t>。</w:t>
      </w:r>
      <w:r>
        <w:t>因此，本文进一步将预训练模型迁移至MIMIC队列，使模型适应</w:t>
      </w:r>
      <w:r>
        <w:rPr>
          <w:rFonts w:hint="eastAsia"/>
        </w:rPr>
        <w:t>临床</w:t>
      </w:r>
      <w:r>
        <w:t>患者ECG的数据分布</w:t>
      </w:r>
      <w:r>
        <w:rPr>
          <w:rFonts w:hint="eastAsia"/>
        </w:rPr>
        <w:t>。</w:t>
      </w:r>
    </w:p>
    <w:p w14:paraId="51B1DBEB">
      <w:pPr>
        <w:ind w:firstLine="480"/>
      </w:pPr>
      <w:r>
        <w:t>需要说明的是，MIMIC结局微调是</w:t>
      </w:r>
      <w:r>
        <w:rPr>
          <w:rFonts w:hint="eastAsia"/>
        </w:rPr>
        <w:t>独立分割出</w:t>
      </w:r>
      <w:r>
        <w:t>部分心脏患者样本，</w:t>
      </w:r>
      <w:r>
        <w:rPr>
          <w:rFonts w:hint="eastAsia"/>
        </w:rPr>
        <w:t>为防止数据泄露，这些训练样本</w:t>
      </w:r>
      <w:r>
        <w:t>并不参与后续临床融合模型的最终评估。</w:t>
      </w:r>
      <w:r>
        <w:rPr>
          <w:rFonts w:hint="eastAsia"/>
        </w:rPr>
        <w:t>最终模型</w:t>
      </w:r>
      <w:r>
        <w:t>将其</w:t>
      </w:r>
      <w:r>
        <w:rPr>
          <w:rFonts w:hint="eastAsia"/>
        </w:rPr>
        <w:t>综合高风险</w:t>
      </w:r>
      <w:r>
        <w:t>作为监督标签</w:t>
      </w:r>
      <w:r>
        <w:rPr>
          <w:rFonts w:hint="eastAsia"/>
        </w:rPr>
        <w:t>。</w:t>
      </w:r>
      <w:r>
        <w:t>微调样本划分</w:t>
      </w:r>
      <w:r>
        <w:rPr>
          <w:rFonts w:hint="eastAsia"/>
        </w:rPr>
        <w:t>见表10。</w:t>
      </w:r>
    </w:p>
    <w:p w14:paraId="2F4E950C">
      <w:pPr>
        <w:pStyle w:val="5"/>
        <w:ind w:firstLine="480"/>
        <w:rPr>
          <w:rFonts w:hint="eastAsia" w:ascii="宋体" w:hAnsi="宋体" w:cs="宋体"/>
          <w:szCs w:val="24"/>
        </w:rPr>
      </w:pPr>
      <w:r>
        <w:t>表</w:t>
      </w:r>
      <w:r>
        <w:fldChar w:fldCharType="begin"/>
      </w:r>
      <w:r>
        <w:instrText xml:space="preserve"> SEQ 表 \* ARABIC </w:instrText>
      </w:r>
      <w:r>
        <w:fldChar w:fldCharType="separate"/>
      </w:r>
      <w:r>
        <w:t>10</w:t>
      </w:r>
      <w:r>
        <w:fldChar w:fldCharType="end"/>
      </w:r>
      <w:bookmarkStart w:id="91" w:name="_Toc4697"/>
      <w:r>
        <w:rPr>
          <w:rFonts w:hint="eastAsia"/>
        </w:rPr>
        <w:t xml:space="preserve"> </w:t>
      </w:r>
      <w:r>
        <w:t>MIMIC</w:t>
      </w:r>
      <w:r>
        <w:rPr>
          <w:rFonts w:hint="eastAsia"/>
        </w:rPr>
        <w:t>综合</w:t>
      </w:r>
      <w:r>
        <w:t>死亡结局微调样本划分</w:t>
      </w:r>
      <w:bookmarkEnd w:id="9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2"/>
        <w:gridCol w:w="4190"/>
      </w:tblGrid>
      <w:tr w14:paraId="58F7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single" w:color="000000" w:sz="12" w:space="0"/>
              <w:left w:val="nil"/>
              <w:bottom w:val="single" w:color="000000" w:sz="4" w:space="0"/>
              <w:right w:val="nil"/>
              <w:tl2br w:val="nil"/>
            </w:tcBorders>
            <w:shd w:val="clear" w:color="auto" w:fill="FFFFFF"/>
          </w:tcPr>
          <w:p w14:paraId="74B8BC8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项目</w:t>
            </w:r>
          </w:p>
        </w:tc>
        <w:tc>
          <w:tcPr>
            <w:tcW w:w="4190" w:type="dxa"/>
            <w:tcBorders>
              <w:top w:val="single" w:color="000000" w:sz="12" w:space="0"/>
              <w:left w:val="nil"/>
              <w:bottom w:val="single" w:color="000000" w:sz="4" w:space="0"/>
              <w:right w:val="nil"/>
            </w:tcBorders>
            <w:shd w:val="clear" w:color="auto" w:fill="FFFFFF"/>
          </w:tcPr>
          <w:p w14:paraId="6E2693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数值</w:t>
            </w:r>
          </w:p>
        </w:tc>
      </w:tr>
      <w:tr w14:paraId="3BED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single" w:color="000000" w:sz="4" w:space="0"/>
              <w:left w:val="nil"/>
              <w:bottom w:val="nil"/>
              <w:right w:val="nil"/>
            </w:tcBorders>
            <w:shd w:val="clear" w:color="auto" w:fill="FFFFFF"/>
          </w:tcPr>
          <w:p w14:paraId="381D7AE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微调目标</w:t>
            </w:r>
          </w:p>
        </w:tc>
        <w:tc>
          <w:tcPr>
            <w:tcW w:w="4190" w:type="dxa"/>
            <w:tcBorders>
              <w:top w:val="single" w:color="000000" w:sz="4" w:space="0"/>
              <w:left w:val="nil"/>
              <w:bottom w:val="nil"/>
              <w:right w:val="nil"/>
            </w:tcBorders>
            <w:shd w:val="clear" w:color="auto" w:fill="FFFFFF"/>
          </w:tcPr>
          <w:p w14:paraId="5DFFDDC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r>
      <w:tr w14:paraId="70EC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nil"/>
              <w:right w:val="nil"/>
            </w:tcBorders>
            <w:shd w:val="clear" w:color="auto" w:fill="FFFFFF"/>
          </w:tcPr>
          <w:p w14:paraId="1300A68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微调患者数</w:t>
            </w:r>
          </w:p>
        </w:tc>
        <w:tc>
          <w:tcPr>
            <w:tcW w:w="4190" w:type="dxa"/>
            <w:tcBorders>
              <w:top w:val="nil"/>
              <w:left w:val="nil"/>
              <w:bottom w:val="nil"/>
              <w:right w:val="nil"/>
            </w:tcBorders>
            <w:shd w:val="clear" w:color="auto" w:fill="FFFFFF"/>
          </w:tcPr>
          <w:p w14:paraId="1B002DE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412</w:t>
            </w:r>
          </w:p>
        </w:tc>
      </w:tr>
      <w:tr w14:paraId="7174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nil"/>
              <w:right w:val="nil"/>
            </w:tcBorders>
            <w:shd w:val="clear" w:color="auto" w:fill="FFFFFF"/>
          </w:tcPr>
          <w:p w14:paraId="4A38353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ECG记录数</w:t>
            </w:r>
          </w:p>
        </w:tc>
        <w:tc>
          <w:tcPr>
            <w:tcW w:w="4190" w:type="dxa"/>
            <w:tcBorders>
              <w:top w:val="nil"/>
              <w:left w:val="nil"/>
              <w:bottom w:val="nil"/>
              <w:right w:val="nil"/>
            </w:tcBorders>
            <w:shd w:val="clear" w:color="auto" w:fill="FFFFFF"/>
          </w:tcPr>
          <w:p w14:paraId="695EB5E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2,038</w:t>
            </w:r>
          </w:p>
        </w:tc>
      </w:tr>
      <w:tr w14:paraId="77AF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nil"/>
              <w:right w:val="nil"/>
            </w:tcBorders>
            <w:shd w:val="clear" w:color="auto" w:fill="FFFFFF"/>
          </w:tcPr>
          <w:p w14:paraId="18C70FF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训练集subject</w:t>
            </w:r>
          </w:p>
        </w:tc>
        <w:tc>
          <w:tcPr>
            <w:tcW w:w="4190" w:type="dxa"/>
            <w:tcBorders>
              <w:top w:val="nil"/>
              <w:left w:val="nil"/>
              <w:bottom w:val="nil"/>
              <w:right w:val="nil"/>
            </w:tcBorders>
            <w:shd w:val="clear" w:color="auto" w:fill="FFFFFF"/>
          </w:tcPr>
          <w:p w14:paraId="27BC239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330</w:t>
            </w:r>
          </w:p>
        </w:tc>
      </w:tr>
      <w:tr w14:paraId="7E23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nil"/>
              <w:right w:val="nil"/>
            </w:tcBorders>
            <w:shd w:val="clear" w:color="auto" w:fill="FFFFFF"/>
          </w:tcPr>
          <w:p w14:paraId="05B35E3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测试集subject</w:t>
            </w:r>
          </w:p>
        </w:tc>
        <w:tc>
          <w:tcPr>
            <w:tcW w:w="4190" w:type="dxa"/>
            <w:tcBorders>
              <w:top w:val="nil"/>
              <w:left w:val="nil"/>
              <w:bottom w:val="nil"/>
              <w:right w:val="nil"/>
            </w:tcBorders>
            <w:shd w:val="clear" w:color="auto" w:fill="FFFFFF"/>
          </w:tcPr>
          <w:p w14:paraId="4D317A08">
            <w:pPr>
              <w:widowControl/>
              <w:spacing w:line="240" w:lineRule="auto"/>
              <w:ind w:firstLine="0" w:firstLineChars="0"/>
              <w:jc w:val="center"/>
              <w:rPr>
                <w:rFonts w:hint="default" w:eastAsia="宋体" w:cs="Times New Roman"/>
                <w:color w:val="000000"/>
                <w:spacing w:val="4"/>
                <w:kern w:val="0"/>
                <w:lang w:val="en-US" w:eastAsia="zh-CN"/>
              </w:rPr>
            </w:pPr>
            <w:r>
              <w:rPr>
                <w:rFonts w:hint="eastAsia" w:cs="Times New Roman"/>
                <w:color w:val="000000"/>
                <w:spacing w:val="4"/>
                <w:kern w:val="0"/>
                <w:lang w:val="en-US" w:eastAsia="zh-CN"/>
              </w:rPr>
              <w:t>83</w:t>
            </w:r>
          </w:p>
        </w:tc>
      </w:tr>
      <w:tr w14:paraId="08C1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2" w:type="dxa"/>
            <w:tcBorders>
              <w:top w:val="nil"/>
              <w:left w:val="nil"/>
              <w:bottom w:val="single" w:color="000000" w:sz="12" w:space="0"/>
              <w:right w:val="nil"/>
            </w:tcBorders>
            <w:shd w:val="clear" w:color="auto" w:fill="FFFFFF"/>
          </w:tcPr>
          <w:p w14:paraId="2EE24C7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protected_fraction</w:t>
            </w:r>
          </w:p>
        </w:tc>
        <w:tc>
          <w:tcPr>
            <w:tcW w:w="4190" w:type="dxa"/>
            <w:tcBorders>
              <w:top w:val="nil"/>
              <w:left w:val="nil"/>
              <w:bottom w:val="single" w:color="000000" w:sz="12" w:space="0"/>
              <w:right w:val="nil"/>
            </w:tcBorders>
            <w:shd w:val="clear" w:color="auto" w:fill="FFFFFF"/>
          </w:tcPr>
          <w:p w14:paraId="3A9BDEE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0.0</w:t>
            </w:r>
          </w:p>
        </w:tc>
      </w:tr>
    </w:tbl>
    <w:p w14:paraId="15387DE4">
      <w:pPr>
        <w:ind w:firstLine="480"/>
      </w:pPr>
      <w:r>
        <w:t>微调阶段的目标是使TCN学习ECG波形与短期临床结局之间的关联，从而生成后续可融合进XGBoost模型的ECG临床相关风险指数</w:t>
      </w:r>
      <w:r>
        <w:rPr>
          <w:rFonts w:hint="eastAsia"/>
        </w:rPr>
        <w:t>作为</w:t>
      </w:r>
      <w:r>
        <w:t>ECG波形中与临床高危结局相关的风险特征</w:t>
      </w:r>
      <w:r>
        <w:rPr>
          <w:rFonts w:hint="eastAsia"/>
        </w:rPr>
        <w:t>。目标域推理配置见表11。</w:t>
      </w:r>
    </w:p>
    <w:p w14:paraId="33425E28">
      <w:pPr>
        <w:pStyle w:val="5"/>
        <w:ind w:firstLine="480"/>
      </w:pPr>
      <w:r>
        <w:t>表</w:t>
      </w:r>
      <w:r>
        <w:fldChar w:fldCharType="begin"/>
      </w:r>
      <w:r>
        <w:instrText xml:space="preserve"> SEQ 表 \* ARABIC </w:instrText>
      </w:r>
      <w:r>
        <w:fldChar w:fldCharType="separate"/>
      </w:r>
      <w:r>
        <w:t>11</w:t>
      </w:r>
      <w:r>
        <w:fldChar w:fldCharType="end"/>
      </w:r>
      <w:bookmarkStart w:id="92" w:name="_Toc32260"/>
      <w:bookmarkStart w:id="93" w:name="_Toc24808"/>
      <w:r>
        <w:rPr>
          <w:rFonts w:hint="eastAsia"/>
        </w:rPr>
        <w:t xml:space="preserve"> MIMIC-IV-ECG目标域推理配置</w:t>
      </w:r>
      <w:bookmarkEnd w:id="92"/>
      <w:bookmarkEnd w:id="93"/>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192"/>
        <w:gridCol w:w="3969"/>
      </w:tblGrid>
      <w:tr w14:paraId="6A817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98" w:type="pct"/>
            <w:tcBorders>
              <w:top w:val="single" w:color="000000" w:sz="12" w:space="0"/>
              <w:left w:val="nil"/>
              <w:bottom w:val="single" w:color="000000" w:sz="4" w:space="0"/>
              <w:right w:val="nil"/>
              <w:tl2br w:val="nil"/>
            </w:tcBorders>
            <w:shd w:val="clear" w:color="auto" w:fill="FFFFFF"/>
          </w:tcPr>
          <w:p w14:paraId="1423059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项目</w:t>
            </w:r>
          </w:p>
        </w:tc>
        <w:tc>
          <w:tcPr>
            <w:tcW w:w="1872" w:type="pct"/>
            <w:tcBorders>
              <w:top w:val="single" w:color="000000" w:sz="12" w:space="0"/>
              <w:left w:val="nil"/>
              <w:bottom w:val="single" w:color="000000" w:sz="4" w:space="0"/>
              <w:right w:val="nil"/>
            </w:tcBorders>
            <w:shd w:val="clear" w:color="auto" w:fill="FFFFFF"/>
          </w:tcPr>
          <w:p w14:paraId="1E9947C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设置</w:t>
            </w:r>
          </w:p>
        </w:tc>
        <w:tc>
          <w:tcPr>
            <w:tcW w:w="2328" w:type="pct"/>
            <w:tcBorders>
              <w:top w:val="single" w:color="000000" w:sz="12" w:space="0"/>
              <w:left w:val="nil"/>
              <w:bottom w:val="single" w:color="000000" w:sz="4" w:space="0"/>
              <w:right w:val="nil"/>
            </w:tcBorders>
            <w:shd w:val="clear" w:color="auto" w:fill="FFFFFF"/>
          </w:tcPr>
          <w:p w14:paraId="79631DF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说明</w:t>
            </w:r>
          </w:p>
        </w:tc>
      </w:tr>
      <w:tr w14:paraId="59AF3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single" w:color="000000" w:sz="4" w:space="0"/>
              <w:left w:val="nil"/>
              <w:bottom w:val="nil"/>
              <w:right w:val="nil"/>
            </w:tcBorders>
            <w:shd w:val="clear" w:color="auto" w:fill="FFFFFF"/>
          </w:tcPr>
          <w:p w14:paraId="04EEF6A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导联选择</w:t>
            </w:r>
          </w:p>
        </w:tc>
        <w:tc>
          <w:tcPr>
            <w:tcW w:w="1872" w:type="pct"/>
            <w:tcBorders>
              <w:top w:val="single" w:color="000000" w:sz="4" w:space="0"/>
              <w:left w:val="nil"/>
              <w:bottom w:val="nil"/>
              <w:right w:val="nil"/>
            </w:tcBorders>
            <w:shd w:val="clear" w:color="auto" w:fill="FFFFFF"/>
          </w:tcPr>
          <w:p w14:paraId="5E7A4DF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优先II导联</w:t>
            </w:r>
          </w:p>
        </w:tc>
        <w:tc>
          <w:tcPr>
            <w:tcW w:w="2328" w:type="pct"/>
            <w:tcBorders>
              <w:top w:val="single" w:color="000000" w:sz="4" w:space="0"/>
              <w:left w:val="nil"/>
              <w:bottom w:val="nil"/>
              <w:right w:val="nil"/>
            </w:tcBorders>
            <w:shd w:val="clear" w:color="auto" w:fill="FFFFFF"/>
          </w:tcPr>
          <w:p w14:paraId="150E1E5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保持心电形态稳定性</w:t>
            </w:r>
          </w:p>
        </w:tc>
      </w:tr>
      <w:tr w14:paraId="5CA9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nil"/>
              <w:left w:val="nil"/>
              <w:bottom w:val="nil"/>
              <w:right w:val="nil"/>
            </w:tcBorders>
            <w:shd w:val="clear" w:color="auto" w:fill="FFFFFF"/>
          </w:tcPr>
          <w:p w14:paraId="318A12C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输入长度</w:t>
            </w:r>
          </w:p>
        </w:tc>
        <w:tc>
          <w:tcPr>
            <w:tcW w:w="1872" w:type="pct"/>
            <w:tcBorders>
              <w:top w:val="nil"/>
              <w:left w:val="nil"/>
              <w:bottom w:val="nil"/>
              <w:right w:val="nil"/>
            </w:tcBorders>
            <w:shd w:val="clear" w:color="auto" w:fill="FFFFFF"/>
          </w:tcPr>
          <w:p w14:paraId="18FE9EB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10s ECG</w:t>
            </w:r>
          </w:p>
        </w:tc>
        <w:tc>
          <w:tcPr>
            <w:tcW w:w="2328" w:type="pct"/>
            <w:tcBorders>
              <w:top w:val="nil"/>
              <w:left w:val="nil"/>
              <w:bottom w:val="nil"/>
              <w:right w:val="nil"/>
            </w:tcBorders>
            <w:shd w:val="clear" w:color="auto" w:fill="FFFFFF"/>
          </w:tcPr>
          <w:p w14:paraId="7B1B2D6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匹配MIMIC-IV-ECG记录形式</w:t>
            </w:r>
          </w:p>
        </w:tc>
      </w:tr>
      <w:tr w14:paraId="0593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nil"/>
              <w:left w:val="nil"/>
              <w:bottom w:val="nil"/>
              <w:right w:val="nil"/>
            </w:tcBorders>
            <w:shd w:val="clear" w:color="auto" w:fill="FFFFFF"/>
          </w:tcPr>
          <w:p w14:paraId="6204B07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重采样</w:t>
            </w:r>
          </w:p>
        </w:tc>
        <w:tc>
          <w:tcPr>
            <w:tcW w:w="1872" w:type="pct"/>
            <w:tcBorders>
              <w:top w:val="nil"/>
              <w:left w:val="nil"/>
              <w:bottom w:val="nil"/>
              <w:right w:val="nil"/>
            </w:tcBorders>
            <w:shd w:val="clear" w:color="auto" w:fill="FFFFFF"/>
          </w:tcPr>
          <w:p w14:paraId="68F2F1B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统一为1000点</w:t>
            </w:r>
          </w:p>
        </w:tc>
        <w:tc>
          <w:tcPr>
            <w:tcW w:w="2328" w:type="pct"/>
            <w:tcBorders>
              <w:top w:val="nil"/>
              <w:left w:val="nil"/>
              <w:bottom w:val="nil"/>
              <w:right w:val="nil"/>
            </w:tcBorders>
            <w:shd w:val="clear" w:color="auto" w:fill="FFFFFF"/>
          </w:tcPr>
          <w:p w14:paraId="4B2FD8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降低采样率差异</w:t>
            </w:r>
          </w:p>
        </w:tc>
      </w:tr>
      <w:tr w14:paraId="5785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nil"/>
              <w:left w:val="nil"/>
              <w:bottom w:val="nil"/>
              <w:right w:val="nil"/>
            </w:tcBorders>
            <w:shd w:val="clear" w:color="auto" w:fill="FFFFFF"/>
          </w:tcPr>
          <w:p w14:paraId="18D3F69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标准化</w:t>
            </w:r>
          </w:p>
        </w:tc>
        <w:tc>
          <w:tcPr>
            <w:tcW w:w="1872" w:type="pct"/>
            <w:tcBorders>
              <w:top w:val="nil"/>
              <w:left w:val="nil"/>
              <w:bottom w:val="nil"/>
              <w:right w:val="nil"/>
            </w:tcBorders>
            <w:shd w:val="clear" w:color="auto" w:fill="FFFFFF"/>
          </w:tcPr>
          <w:p w14:paraId="16A85A6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片段内Z-score</w:t>
            </w:r>
          </w:p>
        </w:tc>
        <w:tc>
          <w:tcPr>
            <w:tcW w:w="2328" w:type="pct"/>
            <w:tcBorders>
              <w:top w:val="nil"/>
              <w:left w:val="nil"/>
              <w:bottom w:val="nil"/>
              <w:right w:val="nil"/>
            </w:tcBorders>
            <w:shd w:val="clear" w:color="auto" w:fill="FFFFFF"/>
          </w:tcPr>
          <w:p w14:paraId="53A0B67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降低幅值差异</w:t>
            </w:r>
          </w:p>
        </w:tc>
      </w:tr>
      <w:tr w14:paraId="6C11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798" w:type="pct"/>
            <w:tcBorders>
              <w:top w:val="nil"/>
              <w:left w:val="nil"/>
              <w:bottom w:val="nil"/>
              <w:right w:val="nil"/>
            </w:tcBorders>
            <w:shd w:val="clear" w:color="auto" w:fill="FFFFFF"/>
          </w:tcPr>
          <w:p w14:paraId="2877D6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输出变量</w:t>
            </w:r>
          </w:p>
        </w:tc>
        <w:tc>
          <w:tcPr>
            <w:tcW w:w="1872" w:type="pct"/>
            <w:tcBorders>
              <w:top w:val="nil"/>
              <w:left w:val="nil"/>
              <w:bottom w:val="nil"/>
              <w:right w:val="nil"/>
            </w:tcBorders>
            <w:shd w:val="clear" w:color="auto" w:fill="FFFFFF"/>
          </w:tcPr>
          <w:p w14:paraId="185C19C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心电高危表型强度</w:t>
            </w:r>
          </w:p>
        </w:tc>
        <w:tc>
          <w:tcPr>
            <w:tcW w:w="2328" w:type="pct"/>
            <w:tcBorders>
              <w:top w:val="nil"/>
              <w:left w:val="nil"/>
              <w:bottom w:val="nil"/>
              <w:right w:val="nil"/>
            </w:tcBorders>
            <w:shd w:val="clear" w:color="auto" w:fill="FFFFFF"/>
          </w:tcPr>
          <w:p w14:paraId="2054B0D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表示ECG与高危模式的相似程度</w:t>
            </w:r>
          </w:p>
        </w:tc>
      </w:tr>
      <w:tr w14:paraId="6055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pct"/>
            <w:tcBorders>
              <w:top w:val="nil"/>
              <w:left w:val="nil"/>
              <w:bottom w:val="single" w:color="000000" w:sz="12" w:space="0"/>
              <w:right w:val="nil"/>
            </w:tcBorders>
            <w:shd w:val="clear" w:color="auto" w:fill="FFFFFF"/>
          </w:tcPr>
          <w:p w14:paraId="679223E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聚合方式</w:t>
            </w:r>
          </w:p>
        </w:tc>
        <w:tc>
          <w:tcPr>
            <w:tcW w:w="1872" w:type="pct"/>
            <w:tcBorders>
              <w:top w:val="nil"/>
              <w:left w:val="nil"/>
              <w:bottom w:val="single" w:color="000000" w:sz="12" w:space="0"/>
              <w:right w:val="nil"/>
            </w:tcBorders>
            <w:shd w:val="clear" w:color="auto" w:fill="FFFFFF"/>
          </w:tcPr>
          <w:p w14:paraId="6C78107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中位数</w:t>
            </w:r>
          </w:p>
        </w:tc>
        <w:tc>
          <w:tcPr>
            <w:tcW w:w="2328" w:type="pct"/>
            <w:tcBorders>
              <w:top w:val="nil"/>
              <w:left w:val="nil"/>
              <w:bottom w:val="single" w:color="000000" w:sz="12" w:space="0"/>
              <w:right w:val="nil"/>
            </w:tcBorders>
            <w:shd w:val="clear" w:color="auto" w:fill="FFFFFF"/>
          </w:tcPr>
          <w:p w14:paraId="551D4E6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降低偶发噪声影响</w:t>
            </w:r>
          </w:p>
        </w:tc>
      </w:tr>
      <w:bookmarkEnd w:id="90"/>
    </w:tbl>
    <w:p w14:paraId="468AE336">
      <w:pPr>
        <w:pStyle w:val="3"/>
        <w:ind w:firstLine="560"/>
      </w:pPr>
      <w:bookmarkStart w:id="94" w:name="_Toc16841"/>
      <w:r>
        <w:rPr>
          <w:rFonts w:hint="eastAsia"/>
        </w:rPr>
        <w:t>（四）心电表征的独立性能与多源融合价值</w:t>
      </w:r>
      <w:bookmarkEnd w:id="94"/>
    </w:p>
    <w:p w14:paraId="593B7BC9">
      <w:pPr>
        <w:ind w:firstLine="480"/>
      </w:pPr>
      <w:r>
        <w:t>在MIMIC微调测试集上，</w:t>
      </w:r>
      <w:r>
        <w:rPr>
          <w:rFonts w:hint="eastAsia"/>
        </w:rPr>
        <w:t>只使用</w:t>
      </w:r>
      <w:r>
        <w:rPr>
          <w:rFonts w:hint="eastAsia"/>
          <w:lang w:val="en-US" w:eastAsia="zh-CN"/>
        </w:rPr>
        <w:t>TCN</w:t>
      </w:r>
      <w:r>
        <w:rPr>
          <w:rFonts w:hint="eastAsia"/>
        </w:rPr>
        <w:t>心电模型生成的心电风险表征就</w:t>
      </w:r>
      <w:r>
        <w:t>表现出</w:t>
      </w:r>
      <w:r>
        <w:rPr>
          <w:rFonts w:hint="eastAsia"/>
        </w:rPr>
        <w:t>不错的</w:t>
      </w:r>
      <w:r>
        <w:rPr>
          <w:rFonts w:hint="eastAsia"/>
          <w:lang w:val="en-US" w:eastAsia="zh-CN"/>
        </w:rPr>
        <w:t>分类</w:t>
      </w:r>
      <w:r>
        <w:t>能力，但其作用应理解为心电层面的风险表征，而非最终临床判决</w:t>
      </w:r>
      <w:r>
        <w:rPr>
          <w:rFonts w:hint="eastAsia"/>
          <w:lang w:eastAsia="zh-CN"/>
        </w:rPr>
        <w:t>。</w:t>
      </w:r>
      <w:r>
        <w:rPr>
          <w:rFonts w:hint="eastAsia"/>
          <w:lang w:val="en-US" w:eastAsia="zh-CN"/>
        </w:rPr>
        <w:t>微调模型的分类性能的各项指标值</w:t>
      </w:r>
      <w:r>
        <w:rPr>
          <w:rFonts w:hint="eastAsia"/>
        </w:rPr>
        <w:t>如表12</w:t>
      </w:r>
      <w:r>
        <w:t>。</w:t>
      </w:r>
      <w:r>
        <w:rPr>
          <w:rFonts w:hint="eastAsia"/>
        </w:rPr>
        <w:t>因此，TCN输出更适合作为心电层面的风险表征，与临床结构化变量共同进入后续多源融合模型。</w:t>
      </w:r>
    </w:p>
    <w:p w14:paraId="5A08C0CF">
      <w:pPr>
        <w:pStyle w:val="5"/>
        <w:ind w:firstLine="480"/>
      </w:pPr>
      <w:r>
        <w:t>表</w:t>
      </w:r>
      <w:r>
        <w:fldChar w:fldCharType="begin"/>
      </w:r>
      <w:r>
        <w:instrText xml:space="preserve"> SEQ 表 \* ARABIC </w:instrText>
      </w:r>
      <w:r>
        <w:fldChar w:fldCharType="separate"/>
      </w:r>
      <w:r>
        <w:t>12</w:t>
      </w:r>
      <w:r>
        <w:fldChar w:fldCharType="end"/>
      </w:r>
      <w:bookmarkStart w:id="95" w:name="_Toc30308"/>
      <w:r>
        <w:rPr>
          <w:rFonts w:hint="eastAsia"/>
        </w:rPr>
        <w:t xml:space="preserve"> </w:t>
      </w:r>
      <w:r>
        <w:t>ECG-only微调模型</w:t>
      </w:r>
      <w:r>
        <w:rPr>
          <w:rFonts w:hint="eastAsia"/>
        </w:rPr>
        <w:t>在临床单独变量</w:t>
      </w:r>
      <w:r>
        <w:t>测试集性能</w:t>
      </w:r>
      <w:bookmarkEnd w:id="9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2"/>
        <w:gridCol w:w="4250"/>
      </w:tblGrid>
      <w:tr w14:paraId="5014B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single" w:color="000000" w:sz="12" w:space="0"/>
              <w:left w:val="nil"/>
              <w:bottom w:val="single" w:color="000000" w:sz="4" w:space="0"/>
              <w:right w:val="nil"/>
              <w:tl2br w:val="nil"/>
            </w:tcBorders>
            <w:shd w:val="clear" w:color="auto" w:fill="FFFFFF"/>
          </w:tcPr>
          <w:p w14:paraId="1CD9A98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指标</w:t>
            </w:r>
          </w:p>
        </w:tc>
        <w:tc>
          <w:tcPr>
            <w:tcW w:w="4250" w:type="dxa"/>
            <w:tcBorders>
              <w:top w:val="single" w:color="000000" w:sz="12" w:space="0"/>
              <w:left w:val="nil"/>
              <w:bottom w:val="single" w:color="000000" w:sz="4" w:space="0"/>
              <w:right w:val="nil"/>
            </w:tcBorders>
            <w:shd w:val="clear" w:color="auto" w:fill="FFFFFF"/>
          </w:tcPr>
          <w:p w14:paraId="6549823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结果</w:t>
            </w:r>
          </w:p>
        </w:tc>
      </w:tr>
      <w:tr w14:paraId="1E582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single" w:color="000000" w:sz="4" w:space="0"/>
              <w:left w:val="nil"/>
              <w:bottom w:val="nil"/>
              <w:right w:val="nil"/>
            </w:tcBorders>
            <w:shd w:val="clear" w:color="auto" w:fill="FFFFFF"/>
          </w:tcPr>
          <w:p w14:paraId="45A7032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AUROC</w:t>
            </w:r>
          </w:p>
        </w:tc>
        <w:tc>
          <w:tcPr>
            <w:tcW w:w="4250" w:type="dxa"/>
            <w:tcBorders>
              <w:top w:val="single" w:color="000000" w:sz="4" w:space="0"/>
              <w:left w:val="nil"/>
              <w:bottom w:val="nil"/>
              <w:right w:val="nil"/>
            </w:tcBorders>
            <w:shd w:val="clear" w:color="auto" w:fill="FFFFFF"/>
          </w:tcPr>
          <w:p w14:paraId="3331F3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0.7316</w:t>
            </w:r>
          </w:p>
        </w:tc>
      </w:tr>
      <w:tr w14:paraId="045F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nil"/>
              <w:left w:val="nil"/>
              <w:bottom w:val="nil"/>
              <w:right w:val="nil"/>
            </w:tcBorders>
            <w:shd w:val="clear" w:color="auto" w:fill="FFFFFF"/>
          </w:tcPr>
          <w:p w14:paraId="35D6C5D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Accuracy</w:t>
            </w:r>
          </w:p>
        </w:tc>
        <w:tc>
          <w:tcPr>
            <w:tcW w:w="4250" w:type="dxa"/>
            <w:tcBorders>
              <w:top w:val="nil"/>
              <w:left w:val="nil"/>
              <w:bottom w:val="nil"/>
              <w:right w:val="nil"/>
            </w:tcBorders>
            <w:shd w:val="clear" w:color="auto" w:fill="FFFFFF"/>
          </w:tcPr>
          <w:p w14:paraId="0B70E07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0.7610</w:t>
            </w:r>
          </w:p>
        </w:tc>
      </w:tr>
      <w:tr w14:paraId="11E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nil"/>
              <w:left w:val="nil"/>
              <w:bottom w:val="nil"/>
              <w:right w:val="nil"/>
            </w:tcBorders>
            <w:shd w:val="clear" w:color="auto" w:fill="FFFFFF"/>
          </w:tcPr>
          <w:p w14:paraId="6DF0BF1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Macro-F1</w:t>
            </w:r>
          </w:p>
        </w:tc>
        <w:tc>
          <w:tcPr>
            <w:tcW w:w="4250" w:type="dxa"/>
            <w:tcBorders>
              <w:top w:val="nil"/>
              <w:left w:val="nil"/>
              <w:bottom w:val="nil"/>
              <w:right w:val="nil"/>
            </w:tcBorders>
            <w:shd w:val="clear" w:color="auto" w:fill="FFFFFF"/>
          </w:tcPr>
          <w:p w14:paraId="47E0B0C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0.5693</w:t>
            </w:r>
          </w:p>
        </w:tc>
      </w:tr>
      <w:tr w14:paraId="0408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2" w:type="dxa"/>
            <w:tcBorders>
              <w:top w:val="nil"/>
              <w:left w:val="nil"/>
              <w:bottom w:val="nil"/>
              <w:right w:val="nil"/>
            </w:tcBorders>
            <w:shd w:val="clear" w:color="auto" w:fill="FFFFFF"/>
          </w:tcPr>
          <w:p w14:paraId="0EBFF91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Balanced accuracy</w:t>
            </w:r>
          </w:p>
        </w:tc>
        <w:tc>
          <w:tcPr>
            <w:tcW w:w="4250" w:type="dxa"/>
            <w:tcBorders>
              <w:top w:val="nil"/>
              <w:left w:val="nil"/>
              <w:bottom w:val="nil"/>
              <w:right w:val="nil"/>
            </w:tcBorders>
            <w:shd w:val="clear" w:color="auto" w:fill="FFFFFF"/>
          </w:tcPr>
          <w:p w14:paraId="75C43A9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0.6588</w:t>
            </w:r>
          </w:p>
        </w:tc>
      </w:tr>
      <w:tr w14:paraId="457F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72" w:type="dxa"/>
            <w:tcBorders>
              <w:top w:val="nil"/>
              <w:left w:val="nil"/>
              <w:bottom w:val="single" w:color="000000" w:sz="12" w:space="0"/>
              <w:right w:val="nil"/>
            </w:tcBorders>
            <w:shd w:val="clear" w:color="auto" w:fill="FFFFFF"/>
          </w:tcPr>
          <w:p w14:paraId="460D3E2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死亡类Recall</w:t>
            </w:r>
          </w:p>
        </w:tc>
        <w:tc>
          <w:tcPr>
            <w:tcW w:w="4250" w:type="dxa"/>
            <w:tcBorders>
              <w:top w:val="nil"/>
              <w:left w:val="nil"/>
              <w:bottom w:val="single" w:color="000000" w:sz="12" w:space="0"/>
              <w:right w:val="nil"/>
            </w:tcBorders>
            <w:shd w:val="clear" w:color="auto" w:fill="FFFFFF"/>
          </w:tcPr>
          <w:p w14:paraId="051659C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0.5348</w:t>
            </w:r>
          </w:p>
        </w:tc>
      </w:tr>
    </w:tbl>
    <w:p w14:paraId="552A8D22">
      <w:pPr>
        <w:pStyle w:val="7"/>
        <w:spacing w:before="0" w:after="0"/>
        <w:ind w:firstLine="0" w:firstLineChars="0"/>
        <w:rPr>
          <w:rFonts w:hint="eastAsia" w:ascii="黑体" w:hAnsi="黑体" w:eastAsia="黑体" w:cs="黑体"/>
          <w:sz w:val="30"/>
          <w:szCs w:val="30"/>
        </w:rPr>
        <w:sectPr>
          <w:pgSz w:w="11906" w:h="16838"/>
          <w:pgMar w:top="1440" w:right="1800" w:bottom="1440" w:left="1800" w:header="851" w:footer="992" w:gutter="0"/>
          <w:cols w:space="425" w:num="1"/>
          <w:docGrid w:type="lines" w:linePitch="312" w:charSpace="0"/>
        </w:sectPr>
      </w:pPr>
    </w:p>
    <w:p w14:paraId="5C752F16">
      <w:pPr>
        <w:pStyle w:val="2"/>
        <w:jc w:val="center"/>
      </w:pPr>
      <w:bookmarkStart w:id="96" w:name="_Toc2542"/>
      <w:r>
        <w:rPr>
          <w:rFonts w:hint="eastAsia"/>
        </w:rPr>
        <w:t>五、多源特征融合下的近期高危风险预测模型</w:t>
      </w:r>
      <w:bookmarkEnd w:id="96"/>
    </w:p>
    <w:p w14:paraId="169C41C0">
      <w:pPr>
        <w:ind w:firstLine="480"/>
      </w:pPr>
      <w:r>
        <w:t>住院患者的近期不良结局通常不是由单一心电异常或单一临床指标决定，而是由电生理异常、基础疾病负担、实验室指标变化和急性病情状态共同作用形成。基于清洗后的恶性心律失常相关队列，本研究共纳入20,375条ECG记录，覆盖4,234位患者；其中训练集16,246条，测试集4,129条。为提高模型对复杂临床风险状态的识别能力，本章在前文构建的心电迁移表征基础上，进一步融合ECG结构化指标、实验室检查、诊断编码、住院时序聚合和临床交互特征，构建住院患者近期高危风险预测模型。</w:t>
      </w:r>
    </w:p>
    <w:p w14:paraId="039325AA">
      <w:pPr>
        <w:ind w:firstLine="480"/>
      </w:pPr>
      <w:r>
        <w:t>模型预测目标包括30天内死亡和综合高风险结局。当前数据中，30天内死亡阳性4,319例（21.20%），综合高风险阳性4,821例（23.66%）；在测试集中，两类结局的阳性率分别为19.28%和21.85%。其中，30天内死亡用于反映ECG采集后的短期全因死亡风险；综合高风险结局用于刻画院内死亡、短期死亡及严重临床风险状态。需要说明的是，两类标签均用于表征近期临床不良结局风险，不直接等同于真实心源性猝死死因标签。</w:t>
      </w:r>
    </w:p>
    <w:p w14:paraId="3F18A61A">
      <w:pPr>
        <w:pStyle w:val="3"/>
        <w:ind w:firstLine="560"/>
      </w:pPr>
      <w:bookmarkStart w:id="97" w:name="_Toc13759"/>
      <w:bookmarkStart w:id="98" w:name="_Toc6639"/>
      <w:bookmarkStart w:id="99" w:name="一模型构建与特征体系"/>
      <w:r>
        <w:rPr>
          <w:rFonts w:hint="eastAsia"/>
        </w:rPr>
        <w:t>（一）多源融合模型构建与特征体系</w:t>
      </w:r>
      <w:bookmarkEnd w:id="97"/>
      <w:bookmarkEnd w:id="98"/>
    </w:p>
    <w:p w14:paraId="2FA907E4">
      <w:pPr>
        <w:ind w:firstLine="480"/>
      </w:pPr>
      <w:r>
        <w:rPr>
          <w:rFonts w:hint="eastAsia"/>
        </w:rPr>
        <w:t>将不同来源的风险信息转化为同一建模空间中的结构化变量，其中ECG结构化特征反映心脏传导、复极和节律状态；心电迁移表征反映目标域ECG与源域高危电生理模式之间的相似程度；临床结构化特征则刻画患者基础疾病负担、器官功能状态和急性病情严重程度。三类信息在时间尺度和临床含义上互补，共同构成模型输入特征体系，具体见表13。</w:t>
      </w:r>
    </w:p>
    <w:p w14:paraId="02A08482">
      <w:pPr>
        <w:pStyle w:val="4"/>
        <w:ind w:firstLine="482"/>
        <w:rPr>
          <w:rFonts w:hint="eastAsia"/>
        </w:rPr>
      </w:pPr>
      <w:r>
        <w:rPr>
          <w:rFonts w:hint="eastAsia"/>
        </w:rPr>
        <w:t>1.特征构成</w:t>
      </w:r>
    </w:p>
    <w:p w14:paraId="63081810">
      <w:pPr>
        <w:pStyle w:val="5"/>
        <w:ind w:firstLine="480"/>
        <w:rPr>
          <w:rFonts w:hint="eastAsia" w:ascii="宋体" w:hAnsi="宋体" w:cs="宋体"/>
          <w:szCs w:val="24"/>
        </w:rPr>
      </w:pPr>
      <w:bookmarkStart w:id="100" w:name="_Toc27416"/>
      <w:r>
        <w:t>表</w:t>
      </w:r>
      <w:r>
        <w:fldChar w:fldCharType="begin"/>
      </w:r>
      <w:r>
        <w:instrText xml:space="preserve"> SEQ 表 \* ARABIC </w:instrText>
      </w:r>
      <w:r>
        <w:fldChar w:fldCharType="separate"/>
      </w:r>
      <w:r>
        <w:t>13</w:t>
      </w:r>
      <w:r>
        <w:fldChar w:fldCharType="end"/>
      </w:r>
      <w:bookmarkStart w:id="101" w:name="_Toc27797"/>
      <w:r>
        <w:rPr>
          <w:rFonts w:hint="eastAsia"/>
        </w:rPr>
        <w:t xml:space="preserve"> </w:t>
      </w:r>
      <w:r>
        <w:rPr>
          <w:rFonts w:hint="eastAsia" w:ascii="宋体" w:hAnsi="宋体" w:cs="宋体"/>
          <w:szCs w:val="24"/>
        </w:rPr>
        <w:t>多源融合模型输入特征体系</w:t>
      </w:r>
      <w:bookmarkEnd w:id="100"/>
      <w:bookmarkEnd w:id="101"/>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3335"/>
        <w:gridCol w:w="2423"/>
        <w:gridCol w:w="1478"/>
      </w:tblGrid>
      <w:tr w14:paraId="1B83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3" w:type="pct"/>
            <w:tcBorders>
              <w:top w:val="single" w:color="000000" w:sz="12" w:space="0"/>
              <w:left w:val="nil"/>
              <w:bottom w:val="single" w:color="000000" w:sz="4" w:space="0"/>
              <w:right w:val="nil"/>
              <w:tl2br w:val="nil"/>
            </w:tcBorders>
            <w:shd w:val="clear" w:color="auto" w:fill="FFFFFF"/>
            <w:vAlign w:val="center"/>
          </w:tcPr>
          <w:p w14:paraId="488FF76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特征类别</w:t>
            </w:r>
          </w:p>
        </w:tc>
        <w:tc>
          <w:tcPr>
            <w:tcW w:w="1956" w:type="pct"/>
            <w:tcBorders>
              <w:top w:val="single" w:color="000000" w:sz="12" w:space="0"/>
              <w:left w:val="nil"/>
              <w:bottom w:val="single" w:color="000000" w:sz="4" w:space="0"/>
              <w:right w:val="nil"/>
            </w:tcBorders>
            <w:shd w:val="clear" w:color="auto" w:fill="FFFFFF"/>
            <w:vAlign w:val="center"/>
          </w:tcPr>
          <w:p w14:paraId="56140AB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代表变量</w:t>
            </w:r>
          </w:p>
        </w:tc>
        <w:tc>
          <w:tcPr>
            <w:tcW w:w="1421" w:type="pct"/>
            <w:tcBorders>
              <w:top w:val="single" w:color="000000" w:sz="12" w:space="0"/>
              <w:left w:val="nil"/>
              <w:bottom w:val="single" w:color="000000" w:sz="4" w:space="0"/>
              <w:right w:val="nil"/>
            </w:tcBorders>
            <w:shd w:val="clear" w:color="auto" w:fill="FFFFFF"/>
            <w:vAlign w:val="center"/>
          </w:tcPr>
          <w:p w14:paraId="59EC849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信息含义</w:t>
            </w:r>
          </w:p>
        </w:tc>
        <w:tc>
          <w:tcPr>
            <w:tcW w:w="867" w:type="pct"/>
            <w:tcBorders>
              <w:top w:val="single" w:color="000000" w:sz="12" w:space="0"/>
              <w:left w:val="nil"/>
              <w:bottom w:val="single" w:color="000000" w:sz="4" w:space="0"/>
              <w:right w:val="nil"/>
            </w:tcBorders>
            <w:shd w:val="clear" w:color="auto" w:fill="FFFFFF"/>
            <w:vAlign w:val="center"/>
          </w:tcPr>
          <w:p w14:paraId="61A895A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建模作用</w:t>
            </w:r>
          </w:p>
        </w:tc>
      </w:tr>
      <w:tr w14:paraId="73B6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single" w:color="000000" w:sz="4" w:space="0"/>
              <w:left w:val="nil"/>
              <w:bottom w:val="nil"/>
              <w:right w:val="nil"/>
            </w:tcBorders>
            <w:shd w:val="clear" w:color="auto" w:fill="FFFFFF"/>
            <w:vAlign w:val="center"/>
          </w:tcPr>
          <w:p w14:paraId="18B45C2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ECG结构化特征</w:t>
            </w:r>
          </w:p>
        </w:tc>
        <w:tc>
          <w:tcPr>
            <w:tcW w:w="1956" w:type="pct"/>
            <w:tcBorders>
              <w:top w:val="single" w:color="000000" w:sz="4" w:space="0"/>
              <w:left w:val="nil"/>
              <w:bottom w:val="nil"/>
              <w:right w:val="nil"/>
            </w:tcBorders>
            <w:shd w:val="clear" w:color="auto" w:fill="FFFFFF"/>
            <w:vAlign w:val="center"/>
          </w:tcPr>
          <w:p w14:paraId="5A40E35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RR间期、PR间期、QRS时限、QTc间期、心电轴</w:t>
            </w:r>
          </w:p>
        </w:tc>
        <w:tc>
          <w:tcPr>
            <w:tcW w:w="1421" w:type="pct"/>
            <w:tcBorders>
              <w:top w:val="single" w:color="000000" w:sz="4" w:space="0"/>
              <w:left w:val="nil"/>
              <w:bottom w:val="nil"/>
              <w:right w:val="nil"/>
            </w:tcBorders>
            <w:shd w:val="clear" w:color="auto" w:fill="FFFFFF"/>
            <w:vAlign w:val="center"/>
          </w:tcPr>
          <w:p w14:paraId="065F6FC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心脏传导与复极状态</w:t>
            </w:r>
          </w:p>
        </w:tc>
        <w:tc>
          <w:tcPr>
            <w:tcW w:w="867" w:type="pct"/>
            <w:tcBorders>
              <w:top w:val="single" w:color="000000" w:sz="4" w:space="0"/>
              <w:left w:val="nil"/>
              <w:bottom w:val="nil"/>
              <w:right w:val="nil"/>
            </w:tcBorders>
            <w:shd w:val="clear" w:color="auto" w:fill="FFFFFF"/>
            <w:vAlign w:val="center"/>
          </w:tcPr>
          <w:p w14:paraId="164F1A7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反映可解释的心电异常</w:t>
            </w:r>
          </w:p>
        </w:tc>
      </w:tr>
      <w:tr w14:paraId="2582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3EE78E4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ECG事件变量</w:t>
            </w:r>
          </w:p>
        </w:tc>
        <w:tc>
          <w:tcPr>
            <w:tcW w:w="1956" w:type="pct"/>
            <w:tcBorders>
              <w:top w:val="nil"/>
              <w:left w:val="nil"/>
              <w:bottom w:val="nil"/>
              <w:right w:val="nil"/>
            </w:tcBorders>
            <w:shd w:val="clear" w:color="auto" w:fill="FFFFFF"/>
            <w:vAlign w:val="center"/>
          </w:tcPr>
          <w:p w14:paraId="54499C7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房颤、ST段抬高、束支传导阻滞、室速、ECG异常</w:t>
            </w:r>
          </w:p>
        </w:tc>
        <w:tc>
          <w:tcPr>
            <w:tcW w:w="1421" w:type="pct"/>
            <w:tcBorders>
              <w:top w:val="nil"/>
              <w:left w:val="nil"/>
              <w:bottom w:val="nil"/>
              <w:right w:val="nil"/>
            </w:tcBorders>
            <w:shd w:val="clear" w:color="auto" w:fill="FFFFFF"/>
            <w:vAlign w:val="center"/>
          </w:tcPr>
          <w:p w14:paraId="27058D2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典型心律与缺血异常</w:t>
            </w:r>
          </w:p>
        </w:tc>
        <w:tc>
          <w:tcPr>
            <w:tcW w:w="867" w:type="pct"/>
            <w:tcBorders>
              <w:top w:val="nil"/>
              <w:left w:val="nil"/>
              <w:bottom w:val="nil"/>
              <w:right w:val="nil"/>
            </w:tcBorders>
            <w:shd w:val="clear" w:color="auto" w:fill="FFFFFF"/>
            <w:vAlign w:val="center"/>
          </w:tcPr>
          <w:p w14:paraId="1B04E2E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捕捉明确异常事件</w:t>
            </w:r>
          </w:p>
        </w:tc>
      </w:tr>
      <w:tr w14:paraId="11888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08FADF4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心电迁移表征</w:t>
            </w:r>
          </w:p>
        </w:tc>
        <w:tc>
          <w:tcPr>
            <w:tcW w:w="1956" w:type="pct"/>
            <w:tcBorders>
              <w:top w:val="nil"/>
              <w:left w:val="nil"/>
              <w:bottom w:val="nil"/>
              <w:right w:val="nil"/>
            </w:tcBorders>
            <w:shd w:val="clear" w:color="auto" w:fill="FFFFFF"/>
            <w:vAlign w:val="center"/>
          </w:tcPr>
          <w:p w14:paraId="1B538CB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心电高危表型强度、历史最高强度、强度变化量</w:t>
            </w:r>
          </w:p>
        </w:tc>
        <w:tc>
          <w:tcPr>
            <w:tcW w:w="1421" w:type="pct"/>
            <w:tcBorders>
              <w:top w:val="nil"/>
              <w:left w:val="nil"/>
              <w:bottom w:val="nil"/>
              <w:right w:val="nil"/>
            </w:tcBorders>
            <w:shd w:val="clear" w:color="auto" w:fill="FFFFFF"/>
            <w:vAlign w:val="center"/>
          </w:tcPr>
          <w:p w14:paraId="6F4B1D7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ECG与源域高危电生理模式的相似程度</w:t>
            </w:r>
          </w:p>
        </w:tc>
        <w:tc>
          <w:tcPr>
            <w:tcW w:w="867" w:type="pct"/>
            <w:tcBorders>
              <w:top w:val="nil"/>
              <w:left w:val="nil"/>
              <w:bottom w:val="nil"/>
              <w:right w:val="nil"/>
            </w:tcBorders>
            <w:shd w:val="clear" w:color="auto" w:fill="FFFFFF"/>
            <w:vAlign w:val="center"/>
          </w:tcPr>
          <w:p w14:paraId="2FB6C3F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补充深度心电表征</w:t>
            </w:r>
          </w:p>
        </w:tc>
      </w:tr>
      <w:tr w14:paraId="0CA9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3E45DE9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实验室指标</w:t>
            </w:r>
          </w:p>
        </w:tc>
        <w:tc>
          <w:tcPr>
            <w:tcW w:w="1956" w:type="pct"/>
            <w:tcBorders>
              <w:top w:val="nil"/>
              <w:left w:val="nil"/>
              <w:bottom w:val="nil"/>
              <w:right w:val="nil"/>
            </w:tcBorders>
            <w:shd w:val="clear" w:color="auto" w:fill="FFFFFF"/>
            <w:vAlign w:val="center"/>
          </w:tcPr>
          <w:p w14:paraId="197A224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肌钙蛋白、BNP、血钾、肌酐、BUN、WBC</w:t>
            </w:r>
          </w:p>
        </w:tc>
        <w:tc>
          <w:tcPr>
            <w:tcW w:w="1421" w:type="pct"/>
            <w:tcBorders>
              <w:top w:val="nil"/>
              <w:left w:val="nil"/>
              <w:bottom w:val="nil"/>
              <w:right w:val="nil"/>
            </w:tcBorders>
            <w:shd w:val="clear" w:color="auto" w:fill="FFFFFF"/>
            <w:vAlign w:val="center"/>
          </w:tcPr>
          <w:p w14:paraId="7D82A1B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心肌损伤、肾功能、电解质和炎症状态</w:t>
            </w:r>
          </w:p>
        </w:tc>
        <w:tc>
          <w:tcPr>
            <w:tcW w:w="867" w:type="pct"/>
            <w:tcBorders>
              <w:top w:val="nil"/>
              <w:left w:val="nil"/>
              <w:bottom w:val="nil"/>
              <w:right w:val="nil"/>
            </w:tcBorders>
            <w:shd w:val="clear" w:color="auto" w:fill="FFFFFF"/>
            <w:vAlign w:val="center"/>
          </w:tcPr>
          <w:p w14:paraId="1782B6B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表征系统性风险</w:t>
            </w:r>
          </w:p>
        </w:tc>
      </w:tr>
      <w:tr w14:paraId="0AAC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4BAED47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诊断信息</w:t>
            </w:r>
          </w:p>
        </w:tc>
        <w:tc>
          <w:tcPr>
            <w:tcW w:w="1956" w:type="pct"/>
            <w:tcBorders>
              <w:top w:val="nil"/>
              <w:left w:val="nil"/>
              <w:bottom w:val="nil"/>
              <w:right w:val="nil"/>
            </w:tcBorders>
            <w:shd w:val="clear" w:color="auto" w:fill="FFFFFF"/>
            <w:vAlign w:val="center"/>
          </w:tcPr>
          <w:p w14:paraId="0D1AE40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心力衰竭、心律失常、缺血性心脏病、高血压、糖尿病</w:t>
            </w:r>
          </w:p>
        </w:tc>
        <w:tc>
          <w:tcPr>
            <w:tcW w:w="1421" w:type="pct"/>
            <w:tcBorders>
              <w:top w:val="nil"/>
              <w:left w:val="nil"/>
              <w:bottom w:val="nil"/>
              <w:right w:val="nil"/>
            </w:tcBorders>
            <w:shd w:val="clear" w:color="auto" w:fill="FFFFFF"/>
            <w:vAlign w:val="center"/>
          </w:tcPr>
          <w:p w14:paraId="5BAABCD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基础疾病负担</w:t>
            </w:r>
          </w:p>
        </w:tc>
        <w:tc>
          <w:tcPr>
            <w:tcW w:w="867" w:type="pct"/>
            <w:tcBorders>
              <w:top w:val="nil"/>
              <w:left w:val="nil"/>
              <w:bottom w:val="nil"/>
              <w:right w:val="nil"/>
            </w:tcBorders>
            <w:shd w:val="clear" w:color="auto" w:fill="FFFFFF"/>
            <w:vAlign w:val="center"/>
          </w:tcPr>
          <w:p w14:paraId="401BEF0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表征长期风险基础</w:t>
            </w:r>
          </w:p>
        </w:tc>
      </w:tr>
      <w:tr w14:paraId="1E7A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nil"/>
              <w:right w:val="nil"/>
            </w:tcBorders>
            <w:shd w:val="clear" w:color="auto" w:fill="FFFFFF"/>
            <w:vAlign w:val="center"/>
          </w:tcPr>
          <w:p w14:paraId="25BBC63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病情状态</w:t>
            </w:r>
          </w:p>
        </w:tc>
        <w:tc>
          <w:tcPr>
            <w:tcW w:w="1956" w:type="pct"/>
            <w:tcBorders>
              <w:top w:val="nil"/>
              <w:left w:val="nil"/>
              <w:bottom w:val="nil"/>
              <w:right w:val="nil"/>
            </w:tcBorders>
            <w:shd w:val="clear" w:color="auto" w:fill="FFFFFF"/>
            <w:vAlign w:val="center"/>
          </w:tcPr>
          <w:p w14:paraId="2FAFA9E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SOFA评分、OASIS评分、生命体征、诊疗过程变量</w:t>
            </w:r>
          </w:p>
        </w:tc>
        <w:tc>
          <w:tcPr>
            <w:tcW w:w="1421" w:type="pct"/>
            <w:tcBorders>
              <w:top w:val="nil"/>
              <w:left w:val="nil"/>
              <w:bottom w:val="nil"/>
              <w:right w:val="nil"/>
            </w:tcBorders>
            <w:shd w:val="clear" w:color="auto" w:fill="FFFFFF"/>
            <w:vAlign w:val="center"/>
          </w:tcPr>
          <w:p w14:paraId="011519A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临床严重程度</w:t>
            </w:r>
          </w:p>
        </w:tc>
        <w:tc>
          <w:tcPr>
            <w:tcW w:w="867" w:type="pct"/>
            <w:tcBorders>
              <w:top w:val="nil"/>
              <w:left w:val="nil"/>
              <w:bottom w:val="nil"/>
              <w:right w:val="nil"/>
            </w:tcBorders>
            <w:shd w:val="clear" w:color="auto" w:fill="FFFFFF"/>
            <w:vAlign w:val="center"/>
          </w:tcPr>
          <w:p w14:paraId="2185A0E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表征短期不良结局风险</w:t>
            </w:r>
          </w:p>
        </w:tc>
      </w:tr>
      <w:tr w14:paraId="3E42F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3" w:type="pct"/>
            <w:tcBorders>
              <w:top w:val="nil"/>
              <w:left w:val="nil"/>
              <w:bottom w:val="single" w:color="000000" w:sz="12" w:space="0"/>
              <w:right w:val="nil"/>
            </w:tcBorders>
            <w:shd w:val="clear" w:color="auto" w:fill="FFFFFF"/>
            <w:vAlign w:val="center"/>
          </w:tcPr>
          <w:p w14:paraId="6FB856E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交互与聚合特征</w:t>
            </w:r>
          </w:p>
        </w:tc>
        <w:tc>
          <w:tcPr>
            <w:tcW w:w="1956" w:type="pct"/>
            <w:tcBorders>
              <w:top w:val="nil"/>
              <w:left w:val="nil"/>
              <w:bottom w:val="single" w:color="000000" w:sz="12" w:space="0"/>
              <w:right w:val="nil"/>
            </w:tcBorders>
            <w:shd w:val="clear" w:color="auto" w:fill="FFFFFF"/>
            <w:vAlign w:val="center"/>
          </w:tcPr>
          <w:p w14:paraId="0DEA1E5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ECG风险×SOFA、BUN/血红蛋白、年龄×BUN、住院/患者层面ECG聚合变量</w:t>
            </w:r>
          </w:p>
        </w:tc>
        <w:tc>
          <w:tcPr>
            <w:tcW w:w="1421" w:type="pct"/>
            <w:tcBorders>
              <w:top w:val="nil"/>
              <w:left w:val="nil"/>
              <w:bottom w:val="single" w:color="000000" w:sz="12" w:space="0"/>
              <w:right w:val="nil"/>
            </w:tcBorders>
            <w:shd w:val="clear" w:color="auto" w:fill="FFFFFF"/>
            <w:vAlign w:val="center"/>
          </w:tcPr>
          <w:p w14:paraId="699BBA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跨模态协同风险</w:t>
            </w:r>
          </w:p>
        </w:tc>
        <w:tc>
          <w:tcPr>
            <w:tcW w:w="867" w:type="pct"/>
            <w:tcBorders>
              <w:top w:val="nil"/>
              <w:left w:val="nil"/>
              <w:bottom w:val="single" w:color="000000" w:sz="12" w:space="0"/>
              <w:right w:val="nil"/>
            </w:tcBorders>
            <w:shd w:val="clear" w:color="auto" w:fill="FFFFFF"/>
            <w:vAlign w:val="center"/>
          </w:tcPr>
          <w:p w14:paraId="16510BE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捕捉非线性风险组合</w:t>
            </w:r>
          </w:p>
        </w:tc>
      </w:tr>
    </w:tbl>
    <w:p w14:paraId="29D26755">
      <w:pPr>
        <w:ind w:firstLine="480"/>
      </w:pPr>
      <w:r>
        <w:t>死亡时间、结局发生时间、出院去向等仅用于标签构建和模型评价，不进入模型特征。这样处理能够避免模型直接利用结局信息，同时保留预测时点前可获得的临床状态。</w:t>
      </w:r>
    </w:p>
    <w:p w14:paraId="07D2E433">
      <w:pPr>
        <w:ind w:firstLine="480"/>
      </w:pPr>
      <w:r>
        <w:rPr>
          <w:rFonts w:hint="eastAsia"/>
        </w:rPr>
        <w:t>模型以XGBoost作为主预测框架。考虑到近期死亡和综合高风险结局存在类别不平衡，训练阶段采用随机欠采样与Bagging结合的方式，每个预测目标重复构建20个子模型，并将单个子模型中的正负样本比例控制在约1:5。Logistic Regression、MLP和SVM作为对比模型。模型评价采用AUROC、AUPRC和F1值，其中AUROC衡量整体区分能力，AUPRC更适合反映类别不平衡条件下的阳性样本识别效果，F1值用于评价精确率和召回率之间的平衡。</w:t>
      </w:r>
    </w:p>
    <w:p w14:paraId="40893478">
      <w:pPr>
        <w:ind w:firstLine="480"/>
      </w:pPr>
      <w:r>
        <w:rPr>
          <w:rFonts w:hint="eastAsia"/>
        </w:rPr>
        <w:t>模型评价指标包括AUC、AP和F1。其中，AUC用于衡量整体区分能力，AP用于评价阳性事件识别效果，F1用于反映精确率和召回率的综合表现。</w:t>
      </w:r>
    </w:p>
    <w:p w14:paraId="6AAEC56B">
      <w:pPr>
        <w:pStyle w:val="4"/>
        <w:ind w:firstLine="482"/>
        <w:rPr>
          <w:rFonts w:hint="eastAsia"/>
        </w:rPr>
      </w:pPr>
      <w:r>
        <w:rPr>
          <w:rFonts w:hint="eastAsia"/>
        </w:rPr>
        <w:t>2.数据泄露防范</w:t>
      </w:r>
    </w:p>
    <w:p w14:paraId="4DD8944E">
      <w:pPr>
        <w:ind w:firstLine="480"/>
      </w:pPr>
      <w:r>
        <w:t>本研究在特征进入模型前剔除了直接反映结局或诊疗结果的字段，如出院去向、心脏骤停/室颤/室速诊断证据、CPR、DNR及机械通气等。同时，用于MIMIC TCN结局微调的患者样本被标记并排除，以避免同一患者同时参与心电模型微调和临床融合模型评估。SOFA、OASIS、GCS、MAP、尿量、最高心率和血管活性药物等严重度变量仅使用ECG采集前限定</w:t>
      </w:r>
      <w:r>
        <w:rPr>
          <w:rFonts w:hint="eastAsia"/>
        </w:rPr>
        <w:t>24h外</w:t>
      </w:r>
      <w:r>
        <w:t>时间窗内的信息，因此作为预测时点前可获得的临床状态变量保留。</w:t>
      </w:r>
    </w:p>
    <w:p w14:paraId="08BE4689">
      <w:pPr>
        <w:pStyle w:val="4"/>
        <w:ind w:firstLine="482"/>
        <w:rPr>
          <w:rFonts w:hint="eastAsia"/>
        </w:rPr>
      </w:pPr>
      <w:r>
        <w:rPr>
          <w:rFonts w:hint="eastAsia"/>
        </w:rPr>
        <w:t>3.特征筛选</w:t>
      </w:r>
    </w:p>
    <w:p w14:paraId="06A4B337">
      <w:pPr>
        <w:ind w:firstLine="480"/>
      </w:pPr>
      <w:r>
        <w:t>由于候选变量既包含原始测量指标，也包含聚合特征和交互特征，单纯依靠单变量统计筛选容易忽略非线性贡献。因此，特征评估采用</w:t>
      </w:r>
      <w:r>
        <w:rPr>
          <w:rFonts w:hint="eastAsia"/>
        </w:rPr>
        <w:t>“</w:t>
      </w:r>
      <w:r>
        <w:t>预测贡献—稳定性—可解释性</w:t>
      </w:r>
      <w:r>
        <w:rPr>
          <w:rFonts w:hint="eastAsia"/>
        </w:rPr>
        <w:t>”</w:t>
      </w:r>
      <w:r>
        <w:t>相结合的策略：一方面利用树模型增益和排列重要性判断变量对预测性能的实际贡献；另一方面结合SHAP值评估变量对个体预测输出的贡献方向和贡献强度。特征筛选方法与判定规则见表1</w:t>
      </w:r>
      <w:r>
        <w:rPr>
          <w:rFonts w:hint="eastAsia"/>
        </w:rPr>
        <w:t>4</w:t>
      </w:r>
      <w:r>
        <w:t>。</w:t>
      </w:r>
    </w:p>
    <w:p w14:paraId="777BF65B">
      <w:pPr>
        <w:pStyle w:val="5"/>
        <w:ind w:firstLine="480"/>
        <w:rPr>
          <w:rFonts w:hint="eastAsia" w:ascii="宋体" w:hAnsi="宋体" w:cs="宋体"/>
          <w:szCs w:val="24"/>
        </w:rPr>
      </w:pPr>
      <w:bookmarkStart w:id="102" w:name="_Toc7239"/>
      <w:r>
        <w:t>表</w:t>
      </w:r>
      <w:r>
        <w:fldChar w:fldCharType="begin"/>
      </w:r>
      <w:r>
        <w:instrText xml:space="preserve"> SEQ 表 \* ARABIC </w:instrText>
      </w:r>
      <w:r>
        <w:fldChar w:fldCharType="separate"/>
      </w:r>
      <w:r>
        <w:t>14</w:t>
      </w:r>
      <w:r>
        <w:fldChar w:fldCharType="end"/>
      </w:r>
      <w:bookmarkStart w:id="103" w:name="_Toc14886"/>
      <w:r>
        <w:rPr>
          <w:rFonts w:hint="eastAsia"/>
        </w:rPr>
        <w:t xml:space="preserve"> LASSO</w:t>
      </w:r>
      <w:r>
        <w:rPr>
          <w:rFonts w:hint="eastAsia" w:ascii="宋体" w:hAnsi="宋体" w:cs="宋体"/>
          <w:szCs w:val="24"/>
        </w:rPr>
        <w:t>特征筛选方法设计与判定规则</w:t>
      </w:r>
      <w:bookmarkEnd w:id="102"/>
      <w:bookmarkEnd w:id="103"/>
    </w:p>
    <w:tbl>
      <w:tblPr>
        <w:tblStyle w:val="16"/>
        <w:tblW w:w="4998" w:type="pct"/>
        <w:jc w:val="center"/>
        <w:tblLayout w:type="autofit"/>
        <w:tblCellMar>
          <w:top w:w="0" w:type="dxa"/>
          <w:left w:w="108" w:type="dxa"/>
          <w:bottom w:w="0" w:type="dxa"/>
          <w:right w:w="108" w:type="dxa"/>
        </w:tblCellMar>
      </w:tblPr>
      <w:tblGrid>
        <w:gridCol w:w="1294"/>
        <w:gridCol w:w="1492"/>
        <w:gridCol w:w="3895"/>
        <w:gridCol w:w="1838"/>
      </w:tblGrid>
      <w:tr w14:paraId="3586346C">
        <w:tblPrEx>
          <w:tblCellMar>
            <w:top w:w="0" w:type="dxa"/>
            <w:left w:w="108" w:type="dxa"/>
            <w:bottom w:w="0" w:type="dxa"/>
            <w:right w:w="108" w:type="dxa"/>
          </w:tblCellMar>
        </w:tblPrEx>
        <w:trPr>
          <w:jc w:val="center"/>
        </w:trPr>
        <w:tc>
          <w:tcPr>
            <w:tcW w:w="759" w:type="pct"/>
            <w:tcBorders>
              <w:top w:val="single" w:color="000000" w:sz="12" w:space="0"/>
              <w:left w:val="nil"/>
              <w:bottom w:val="single" w:color="000000" w:sz="4" w:space="0"/>
              <w:right w:val="nil"/>
              <w:tl2br w:val="nil"/>
            </w:tcBorders>
            <w:shd w:val="clear" w:color="auto" w:fill="FFFFFF"/>
            <w:vAlign w:val="center"/>
          </w:tcPr>
          <w:p w14:paraId="69A6F5C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筛选方法</w:t>
            </w:r>
          </w:p>
        </w:tc>
        <w:tc>
          <w:tcPr>
            <w:tcW w:w="875" w:type="pct"/>
            <w:tcBorders>
              <w:top w:val="single" w:color="000000" w:sz="12" w:space="0"/>
              <w:left w:val="nil"/>
              <w:bottom w:val="single" w:color="000000" w:sz="4" w:space="0"/>
              <w:right w:val="nil"/>
            </w:tcBorders>
            <w:shd w:val="clear" w:color="auto" w:fill="FFFFFF"/>
            <w:vAlign w:val="center"/>
          </w:tcPr>
          <w:p w14:paraId="45306CF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评估维度</w:t>
            </w:r>
          </w:p>
        </w:tc>
        <w:tc>
          <w:tcPr>
            <w:tcW w:w="2285" w:type="pct"/>
            <w:tcBorders>
              <w:top w:val="single" w:color="000000" w:sz="12" w:space="0"/>
              <w:left w:val="nil"/>
              <w:bottom w:val="single" w:color="000000" w:sz="4" w:space="0"/>
              <w:right w:val="nil"/>
            </w:tcBorders>
            <w:shd w:val="clear" w:color="auto" w:fill="FFFFFF"/>
            <w:vAlign w:val="center"/>
          </w:tcPr>
          <w:p w14:paraId="6DD077F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评估原理</w:t>
            </w:r>
          </w:p>
        </w:tc>
        <w:tc>
          <w:tcPr>
            <w:tcW w:w="1078" w:type="pct"/>
            <w:tcBorders>
              <w:top w:val="single" w:color="000000" w:sz="12" w:space="0"/>
              <w:left w:val="nil"/>
              <w:bottom w:val="single" w:color="000000" w:sz="4" w:space="0"/>
              <w:right w:val="nil"/>
            </w:tcBorders>
            <w:shd w:val="clear" w:color="auto" w:fill="FFFFFF"/>
            <w:vAlign w:val="center"/>
          </w:tcPr>
          <w:p w14:paraId="71967EA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判定规则</w:t>
            </w:r>
          </w:p>
        </w:tc>
      </w:tr>
      <w:tr w14:paraId="69EE6BAC">
        <w:tblPrEx>
          <w:tblCellMar>
            <w:top w:w="0" w:type="dxa"/>
            <w:left w:w="108" w:type="dxa"/>
            <w:bottom w:w="0" w:type="dxa"/>
            <w:right w:w="108" w:type="dxa"/>
          </w:tblCellMar>
        </w:tblPrEx>
        <w:trPr>
          <w:jc w:val="center"/>
        </w:trPr>
        <w:tc>
          <w:tcPr>
            <w:tcW w:w="759" w:type="pct"/>
            <w:tcBorders>
              <w:top w:val="nil"/>
              <w:left w:val="nil"/>
              <w:bottom w:val="nil"/>
              <w:right w:val="nil"/>
            </w:tcBorders>
            <w:shd w:val="clear" w:color="auto" w:fill="FFFFFF"/>
            <w:vAlign w:val="center"/>
          </w:tcPr>
          <w:p w14:paraId="7895E60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SHAP引导剪枝</w:t>
            </w:r>
          </w:p>
        </w:tc>
        <w:tc>
          <w:tcPr>
            <w:tcW w:w="875" w:type="pct"/>
            <w:tcBorders>
              <w:top w:val="nil"/>
              <w:left w:val="nil"/>
              <w:bottom w:val="nil"/>
              <w:right w:val="nil"/>
            </w:tcBorders>
            <w:shd w:val="clear" w:color="auto" w:fill="FFFFFF"/>
            <w:vAlign w:val="center"/>
          </w:tcPr>
          <w:p w14:paraId="29A68FB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模型解释性</w:t>
            </w:r>
          </w:p>
        </w:tc>
        <w:tc>
          <w:tcPr>
            <w:tcW w:w="2285" w:type="pct"/>
            <w:tcBorders>
              <w:top w:val="nil"/>
              <w:left w:val="nil"/>
              <w:bottom w:val="nil"/>
              <w:right w:val="nil"/>
            </w:tcBorders>
            <w:shd w:val="clear" w:color="auto" w:fill="FFFFFF"/>
            <w:vAlign w:val="center"/>
          </w:tcPr>
          <w:p w14:paraId="75E4D6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利用XGBoost内置参数计算每个样本在每个特征维度的SHAP贡献值，取平均绝对SHAP值作为特征贡献度量</w:t>
            </w:r>
          </w:p>
        </w:tc>
        <w:tc>
          <w:tcPr>
            <w:tcW w:w="1078" w:type="pct"/>
            <w:tcBorders>
              <w:top w:val="nil"/>
              <w:left w:val="nil"/>
              <w:bottom w:val="nil"/>
              <w:right w:val="nil"/>
            </w:tcBorders>
            <w:shd w:val="clear" w:color="auto" w:fill="FFFFFF"/>
            <w:vAlign w:val="center"/>
          </w:tcPr>
          <w:p w14:paraId="66F541E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mean|SHAP|高于第25百分位阈值则通过</w:t>
            </w:r>
          </w:p>
        </w:tc>
      </w:tr>
      <w:tr w14:paraId="218539F8">
        <w:tblPrEx>
          <w:tblCellMar>
            <w:top w:w="0" w:type="dxa"/>
            <w:left w:w="108" w:type="dxa"/>
            <w:bottom w:w="0" w:type="dxa"/>
            <w:right w:w="108" w:type="dxa"/>
          </w:tblCellMar>
        </w:tblPrEx>
        <w:trPr>
          <w:jc w:val="center"/>
        </w:trPr>
        <w:tc>
          <w:tcPr>
            <w:tcW w:w="759" w:type="pct"/>
            <w:tcBorders>
              <w:top w:val="nil"/>
              <w:left w:val="nil"/>
              <w:bottom w:val="single" w:color="000000" w:sz="12" w:space="0"/>
              <w:right w:val="nil"/>
            </w:tcBorders>
            <w:shd w:val="clear" w:color="auto" w:fill="FFFFFF"/>
            <w:vAlign w:val="center"/>
          </w:tcPr>
          <w:p w14:paraId="7AA5922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排列重要性检验</w:t>
            </w:r>
          </w:p>
        </w:tc>
        <w:tc>
          <w:tcPr>
            <w:tcW w:w="875" w:type="pct"/>
            <w:tcBorders>
              <w:top w:val="nil"/>
              <w:left w:val="nil"/>
              <w:bottom w:val="single" w:color="000000" w:sz="12" w:space="0"/>
              <w:right w:val="nil"/>
            </w:tcBorders>
            <w:shd w:val="clear" w:color="auto" w:fill="FFFFFF"/>
            <w:vAlign w:val="center"/>
          </w:tcPr>
          <w:p w14:paraId="3CE3E45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预测有效性</w:t>
            </w:r>
          </w:p>
        </w:tc>
        <w:tc>
          <w:tcPr>
            <w:tcW w:w="2285" w:type="pct"/>
            <w:tcBorders>
              <w:top w:val="nil"/>
              <w:left w:val="nil"/>
              <w:bottom w:val="single" w:color="000000" w:sz="12" w:space="0"/>
              <w:right w:val="nil"/>
            </w:tcBorders>
            <w:shd w:val="clear" w:color="auto" w:fill="FFFFFF"/>
            <w:vAlign w:val="center"/>
          </w:tcPr>
          <w:p w14:paraId="0DBC9EA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打乱测试集特征值，重新计算模型AUC，若打乱后AUC不降反升则该特征为有害特征</w:t>
            </w:r>
          </w:p>
        </w:tc>
        <w:tc>
          <w:tcPr>
            <w:tcW w:w="1078" w:type="pct"/>
            <w:tcBorders>
              <w:top w:val="nil"/>
              <w:left w:val="nil"/>
              <w:bottom w:val="single" w:color="000000" w:sz="12" w:space="0"/>
              <w:right w:val="nil"/>
            </w:tcBorders>
            <w:shd w:val="clear" w:color="auto" w:fill="FFFFFF"/>
            <w:vAlign w:val="center"/>
          </w:tcPr>
          <w:p w14:paraId="182012F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ΔAUC&gt;−0.0005则通过</w:t>
            </w:r>
          </w:p>
        </w:tc>
      </w:tr>
    </w:tbl>
    <w:p w14:paraId="0F0DB291">
      <w:pPr>
        <w:ind w:firstLine="480"/>
      </w:pPr>
      <w:r>
        <w:t>特征筛选并非单纯为了减少变量数量，而是为了识别真正参与风险判断的变量组。</w:t>
      </w:r>
      <w:r>
        <w:rPr>
          <w:rFonts w:hint="eastAsia"/>
        </w:rPr>
        <w:t>接下来我们</w:t>
      </w:r>
      <w:r>
        <w:t>将通过模型对比、特征消融、风险分层和SHAP解释进一步验证心电迁移表征及其聚合特征在近期高危风险预测中的增量价值</w:t>
      </w:r>
      <w:r>
        <w:rPr>
          <w:rFonts w:hint="eastAsia"/>
        </w:rPr>
        <w:t>。</w:t>
      </w:r>
    </w:p>
    <w:bookmarkEnd w:id="99"/>
    <w:p w14:paraId="1B88257E">
      <w:pPr>
        <w:pStyle w:val="3"/>
        <w:ind w:firstLine="560"/>
      </w:pPr>
      <w:bookmarkStart w:id="104" w:name="_Toc12068"/>
      <w:bookmarkStart w:id="105" w:name="_Toc1597"/>
      <w:bookmarkStart w:id="106" w:name="二模型预测性能与特征消融分析"/>
      <w:r>
        <w:rPr>
          <w:rFonts w:hint="eastAsia"/>
        </w:rPr>
        <w:t>（二）模型预测性能与特征消融分析</w:t>
      </w:r>
      <w:bookmarkEnd w:id="104"/>
      <w:bookmarkEnd w:id="105"/>
    </w:p>
    <w:p w14:paraId="51130AD2">
      <w:pPr>
        <w:ind w:firstLine="480"/>
      </w:pPr>
      <w:r>
        <w:t>在多源特征融合基础上，分别以30天内死亡和综合高风险结局为预测目标进行建模。由表1</w:t>
      </w:r>
      <w:r>
        <w:rPr>
          <w:rFonts w:hint="eastAsia"/>
        </w:rPr>
        <w:t>5</w:t>
      </w:r>
      <w:r>
        <w:t>可见，在当前数据复现下，XGBoost在两个任务中均取得较好的综合表现。其中，30天内死亡任务的AUC为0.8</w:t>
      </w:r>
      <w:r>
        <w:rPr>
          <w:rFonts w:hint="eastAsia"/>
        </w:rPr>
        <w:t>462</w:t>
      </w:r>
      <w:r>
        <w:t>，AP为0.5</w:t>
      </w:r>
      <w:r>
        <w:rPr>
          <w:rFonts w:hint="eastAsia"/>
        </w:rPr>
        <w:t>822</w:t>
      </w:r>
      <w:r>
        <w:t>；综合高风险任务的AUC为0.8559，AP为0.6712。与Logistic Regression和MLP相比，XGBoost在区分能力和阳性样本识别方面均更稳定，说明非线性树模型更适合处理多源异构变量之间的复杂关系</w:t>
      </w:r>
      <w:r>
        <w:rPr>
          <w:rFonts w:hint="eastAsia"/>
        </w:rPr>
        <w:t>。</w:t>
      </w:r>
    </w:p>
    <w:p w14:paraId="6292EF08">
      <w:pPr>
        <w:pStyle w:val="5"/>
        <w:ind w:firstLine="480"/>
        <w:rPr>
          <w:rFonts w:hint="eastAsia" w:ascii="宋体" w:hAnsi="宋体" w:cs="宋体"/>
          <w:szCs w:val="24"/>
        </w:rPr>
      </w:pPr>
      <w:bookmarkStart w:id="107" w:name="_Toc24377"/>
      <w:r>
        <w:t>表</w:t>
      </w:r>
      <w:r>
        <w:fldChar w:fldCharType="begin"/>
      </w:r>
      <w:r>
        <w:instrText xml:space="preserve"> SEQ 表 \* ARABIC </w:instrText>
      </w:r>
      <w:r>
        <w:fldChar w:fldCharType="separate"/>
      </w:r>
      <w:r>
        <w:t>15</w:t>
      </w:r>
      <w:r>
        <w:fldChar w:fldCharType="end"/>
      </w:r>
      <w:bookmarkStart w:id="108" w:name="_Toc336"/>
      <w:r>
        <w:rPr>
          <w:rFonts w:hint="eastAsia"/>
        </w:rPr>
        <w:t xml:space="preserve"> </w:t>
      </w:r>
      <w:r>
        <w:rPr>
          <w:rFonts w:hint="eastAsia" w:ascii="宋体" w:hAnsi="宋体" w:cs="宋体"/>
          <w:szCs w:val="24"/>
        </w:rPr>
        <w:t>多源模型测试集性能比较</w:t>
      </w:r>
      <w:bookmarkEnd w:id="107"/>
      <w:bookmarkEnd w:id="108"/>
    </w:p>
    <w:tbl>
      <w:tblPr>
        <w:tblStyle w:val="1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4"/>
        <w:gridCol w:w="2142"/>
        <w:gridCol w:w="1361"/>
        <w:gridCol w:w="1361"/>
        <w:gridCol w:w="1361"/>
      </w:tblGrid>
      <w:tr w14:paraId="222C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2" w:type="pct"/>
            <w:tcBorders>
              <w:top w:val="single" w:color="000000" w:sz="12" w:space="0"/>
              <w:left w:val="nil"/>
              <w:bottom w:val="single" w:color="000000" w:sz="4" w:space="0"/>
              <w:right w:val="nil"/>
              <w:tl2br w:val="nil"/>
            </w:tcBorders>
            <w:shd w:val="clear" w:color="auto" w:fill="FFFFFF"/>
          </w:tcPr>
          <w:p w14:paraId="39E8F07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1193" w:type="pct"/>
            <w:tcBorders>
              <w:top w:val="single" w:color="000000" w:sz="12" w:space="0"/>
              <w:left w:val="nil"/>
              <w:bottom w:val="single" w:color="000000" w:sz="4" w:space="0"/>
              <w:right w:val="nil"/>
            </w:tcBorders>
            <w:shd w:val="clear" w:color="auto" w:fill="FFFFFF"/>
          </w:tcPr>
          <w:p w14:paraId="385D773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模型</w:t>
            </w:r>
          </w:p>
        </w:tc>
        <w:tc>
          <w:tcPr>
            <w:tcW w:w="814" w:type="pct"/>
            <w:tcBorders>
              <w:top w:val="single" w:color="000000" w:sz="12" w:space="0"/>
              <w:left w:val="nil"/>
              <w:bottom w:val="single" w:color="000000" w:sz="4" w:space="0"/>
              <w:right w:val="nil"/>
            </w:tcBorders>
            <w:shd w:val="clear" w:color="auto" w:fill="FFFFFF"/>
          </w:tcPr>
          <w:p w14:paraId="74B37A7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814" w:type="pct"/>
            <w:tcBorders>
              <w:top w:val="single" w:color="000000" w:sz="12" w:space="0"/>
              <w:left w:val="nil"/>
              <w:bottom w:val="single" w:color="000000" w:sz="4" w:space="0"/>
              <w:right w:val="nil"/>
            </w:tcBorders>
            <w:shd w:val="clear" w:color="auto" w:fill="FFFFFF"/>
          </w:tcPr>
          <w:p w14:paraId="246DAF8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c>
          <w:tcPr>
            <w:tcW w:w="814" w:type="pct"/>
            <w:tcBorders>
              <w:top w:val="single" w:color="000000" w:sz="12" w:space="0"/>
              <w:left w:val="nil"/>
              <w:bottom w:val="single" w:color="000000" w:sz="4" w:space="0"/>
              <w:right w:val="nil"/>
            </w:tcBorders>
            <w:shd w:val="clear" w:color="auto" w:fill="FFFFFF"/>
          </w:tcPr>
          <w:p w14:paraId="1EF46DF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F1</w:t>
            </w:r>
          </w:p>
        </w:tc>
      </w:tr>
      <w:tr w14:paraId="75A1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single" w:color="000000" w:sz="4" w:space="0"/>
              <w:left w:val="nil"/>
              <w:bottom w:val="nil"/>
              <w:right w:val="nil"/>
            </w:tcBorders>
            <w:shd w:val="clear" w:color="auto" w:fill="FFFFFF"/>
          </w:tcPr>
          <w:p w14:paraId="20F0DE3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193" w:type="pct"/>
            <w:tcBorders>
              <w:top w:val="single" w:color="000000" w:sz="4" w:space="0"/>
              <w:left w:val="nil"/>
              <w:bottom w:val="nil"/>
              <w:right w:val="nil"/>
            </w:tcBorders>
            <w:shd w:val="clear" w:color="auto" w:fill="FFFFFF"/>
          </w:tcPr>
          <w:p w14:paraId="538A6B2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XGBoost</w:t>
            </w:r>
          </w:p>
        </w:tc>
        <w:tc>
          <w:tcPr>
            <w:tcW w:w="814" w:type="pct"/>
            <w:tcBorders>
              <w:top w:val="single" w:color="000000" w:sz="4" w:space="0"/>
              <w:left w:val="nil"/>
              <w:bottom w:val="nil"/>
              <w:right w:val="nil"/>
            </w:tcBorders>
            <w:shd w:val="clear" w:color="auto" w:fill="FFFFFF"/>
          </w:tcPr>
          <w:p w14:paraId="003CA7D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0.8462</w:t>
            </w:r>
          </w:p>
        </w:tc>
        <w:tc>
          <w:tcPr>
            <w:tcW w:w="814" w:type="pct"/>
            <w:tcBorders>
              <w:top w:val="single" w:color="000000" w:sz="4" w:space="0"/>
              <w:left w:val="nil"/>
              <w:bottom w:val="nil"/>
              <w:right w:val="nil"/>
            </w:tcBorders>
            <w:shd w:val="clear" w:color="auto" w:fill="FFFFFF"/>
          </w:tcPr>
          <w:p w14:paraId="31FF5DD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0.5822</w:t>
            </w:r>
          </w:p>
        </w:tc>
        <w:tc>
          <w:tcPr>
            <w:tcW w:w="814" w:type="pct"/>
            <w:tcBorders>
              <w:top w:val="single" w:color="000000" w:sz="4" w:space="0"/>
              <w:left w:val="nil"/>
              <w:bottom w:val="nil"/>
              <w:right w:val="nil"/>
            </w:tcBorders>
            <w:shd w:val="clear" w:color="auto" w:fill="FFFFFF"/>
          </w:tcPr>
          <w:p w14:paraId="2CC0A5B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0.5825</w:t>
            </w:r>
          </w:p>
        </w:tc>
      </w:tr>
      <w:tr w14:paraId="13AD7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62" w:type="pct"/>
            <w:tcBorders>
              <w:top w:val="nil"/>
              <w:left w:val="nil"/>
              <w:bottom w:val="nil"/>
              <w:right w:val="nil"/>
            </w:tcBorders>
            <w:shd w:val="clear" w:color="auto" w:fill="FFFFFF"/>
          </w:tcPr>
          <w:p w14:paraId="581D522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193" w:type="pct"/>
            <w:tcBorders>
              <w:top w:val="nil"/>
              <w:left w:val="nil"/>
              <w:bottom w:val="nil"/>
              <w:right w:val="nil"/>
            </w:tcBorders>
            <w:shd w:val="clear" w:color="auto" w:fill="FFFFFF"/>
          </w:tcPr>
          <w:p w14:paraId="77E6C21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LogisticRegression</w:t>
            </w:r>
          </w:p>
        </w:tc>
        <w:tc>
          <w:tcPr>
            <w:tcW w:w="814" w:type="pct"/>
            <w:tcBorders>
              <w:top w:val="nil"/>
              <w:left w:val="nil"/>
              <w:bottom w:val="nil"/>
              <w:right w:val="nil"/>
            </w:tcBorders>
            <w:shd w:val="clear" w:color="auto" w:fill="FFFFFF"/>
          </w:tcPr>
          <w:p w14:paraId="6AB0F79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0.8205</w:t>
            </w:r>
          </w:p>
        </w:tc>
        <w:tc>
          <w:tcPr>
            <w:tcW w:w="814" w:type="pct"/>
            <w:tcBorders>
              <w:top w:val="nil"/>
              <w:left w:val="nil"/>
              <w:bottom w:val="nil"/>
              <w:right w:val="nil"/>
            </w:tcBorders>
            <w:shd w:val="clear" w:color="auto" w:fill="FFFFFF"/>
          </w:tcPr>
          <w:p w14:paraId="221688C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0.5224</w:t>
            </w:r>
          </w:p>
        </w:tc>
        <w:tc>
          <w:tcPr>
            <w:tcW w:w="814" w:type="pct"/>
            <w:tcBorders>
              <w:top w:val="nil"/>
              <w:left w:val="nil"/>
              <w:bottom w:val="nil"/>
              <w:right w:val="nil"/>
            </w:tcBorders>
            <w:shd w:val="clear" w:color="auto" w:fill="FFFFFF"/>
          </w:tcPr>
          <w:p w14:paraId="558969D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0.5375</w:t>
            </w:r>
          </w:p>
        </w:tc>
      </w:tr>
      <w:tr w14:paraId="3C1E3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nil"/>
              <w:left w:val="nil"/>
              <w:bottom w:val="nil"/>
              <w:right w:val="nil"/>
            </w:tcBorders>
            <w:shd w:val="clear" w:color="auto" w:fill="FFFFFF"/>
          </w:tcPr>
          <w:p w14:paraId="0047441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193" w:type="pct"/>
            <w:tcBorders>
              <w:top w:val="nil"/>
              <w:left w:val="nil"/>
              <w:bottom w:val="nil"/>
              <w:right w:val="nil"/>
            </w:tcBorders>
            <w:shd w:val="clear" w:color="auto" w:fill="FFFFFF"/>
          </w:tcPr>
          <w:p w14:paraId="490C136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MLP</w:t>
            </w:r>
          </w:p>
        </w:tc>
        <w:tc>
          <w:tcPr>
            <w:tcW w:w="814" w:type="pct"/>
            <w:tcBorders>
              <w:top w:val="nil"/>
              <w:left w:val="nil"/>
              <w:bottom w:val="nil"/>
              <w:right w:val="nil"/>
            </w:tcBorders>
            <w:shd w:val="clear" w:color="auto" w:fill="FFFFFF"/>
          </w:tcPr>
          <w:p w14:paraId="6F502EB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0.7908</w:t>
            </w:r>
          </w:p>
        </w:tc>
        <w:tc>
          <w:tcPr>
            <w:tcW w:w="814" w:type="pct"/>
            <w:tcBorders>
              <w:top w:val="nil"/>
              <w:left w:val="nil"/>
              <w:bottom w:val="nil"/>
              <w:right w:val="nil"/>
            </w:tcBorders>
            <w:shd w:val="clear" w:color="auto" w:fill="FFFFFF"/>
          </w:tcPr>
          <w:p w14:paraId="721D90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0.4888</w:t>
            </w:r>
          </w:p>
        </w:tc>
        <w:tc>
          <w:tcPr>
            <w:tcW w:w="814" w:type="pct"/>
            <w:tcBorders>
              <w:top w:val="nil"/>
              <w:left w:val="nil"/>
              <w:bottom w:val="nil"/>
              <w:right w:val="nil"/>
            </w:tcBorders>
            <w:shd w:val="clear" w:color="auto" w:fill="FFFFFF"/>
          </w:tcPr>
          <w:p w14:paraId="733E67B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0.5076</w:t>
            </w:r>
          </w:p>
        </w:tc>
      </w:tr>
      <w:tr w14:paraId="0848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nil"/>
              <w:left w:val="nil"/>
              <w:bottom w:val="nil"/>
              <w:right w:val="nil"/>
            </w:tcBorders>
            <w:shd w:val="clear" w:color="auto" w:fill="FFFFFF"/>
          </w:tcPr>
          <w:p w14:paraId="6F61341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193" w:type="pct"/>
            <w:tcBorders>
              <w:top w:val="nil"/>
              <w:left w:val="nil"/>
              <w:bottom w:val="nil"/>
              <w:right w:val="nil"/>
            </w:tcBorders>
            <w:shd w:val="clear" w:color="auto" w:fill="FFFFFF"/>
          </w:tcPr>
          <w:p w14:paraId="7F18F57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XGBoost</w:t>
            </w:r>
          </w:p>
        </w:tc>
        <w:tc>
          <w:tcPr>
            <w:tcW w:w="814" w:type="pct"/>
            <w:tcBorders>
              <w:top w:val="nil"/>
              <w:left w:val="nil"/>
              <w:bottom w:val="nil"/>
              <w:right w:val="nil"/>
            </w:tcBorders>
            <w:shd w:val="clear" w:color="auto" w:fill="FFFFFF"/>
          </w:tcPr>
          <w:p w14:paraId="7B8E4B5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0.8559</w:t>
            </w:r>
          </w:p>
        </w:tc>
        <w:tc>
          <w:tcPr>
            <w:tcW w:w="814" w:type="pct"/>
            <w:tcBorders>
              <w:top w:val="nil"/>
              <w:left w:val="nil"/>
              <w:bottom w:val="nil"/>
              <w:right w:val="nil"/>
            </w:tcBorders>
            <w:shd w:val="clear" w:color="auto" w:fill="FFFFFF"/>
          </w:tcPr>
          <w:p w14:paraId="1CEC685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0.6712</w:t>
            </w:r>
          </w:p>
        </w:tc>
        <w:tc>
          <w:tcPr>
            <w:tcW w:w="814" w:type="pct"/>
            <w:tcBorders>
              <w:top w:val="nil"/>
              <w:left w:val="nil"/>
              <w:bottom w:val="nil"/>
              <w:right w:val="nil"/>
            </w:tcBorders>
            <w:shd w:val="clear" w:color="auto" w:fill="FFFFFF"/>
          </w:tcPr>
          <w:p w14:paraId="346B026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0.6215</w:t>
            </w:r>
          </w:p>
        </w:tc>
      </w:tr>
      <w:tr w14:paraId="6189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nil"/>
              <w:left w:val="nil"/>
              <w:bottom w:val="nil"/>
              <w:right w:val="nil"/>
            </w:tcBorders>
            <w:shd w:val="clear" w:color="auto" w:fill="FFFFFF"/>
          </w:tcPr>
          <w:p w14:paraId="537A2A0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193" w:type="pct"/>
            <w:tcBorders>
              <w:top w:val="nil"/>
              <w:left w:val="nil"/>
              <w:bottom w:val="nil"/>
              <w:right w:val="nil"/>
            </w:tcBorders>
            <w:shd w:val="clear" w:color="auto" w:fill="FFFFFF"/>
          </w:tcPr>
          <w:p w14:paraId="10ABDB6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LogisticRegression</w:t>
            </w:r>
          </w:p>
        </w:tc>
        <w:tc>
          <w:tcPr>
            <w:tcW w:w="814" w:type="pct"/>
            <w:tcBorders>
              <w:top w:val="nil"/>
              <w:left w:val="nil"/>
              <w:bottom w:val="nil"/>
              <w:right w:val="nil"/>
            </w:tcBorders>
            <w:shd w:val="clear" w:color="auto" w:fill="FFFFFF"/>
          </w:tcPr>
          <w:p w14:paraId="2C0C345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0.8398</w:t>
            </w:r>
          </w:p>
        </w:tc>
        <w:tc>
          <w:tcPr>
            <w:tcW w:w="814" w:type="pct"/>
            <w:tcBorders>
              <w:top w:val="nil"/>
              <w:left w:val="nil"/>
              <w:bottom w:val="nil"/>
              <w:right w:val="nil"/>
            </w:tcBorders>
            <w:shd w:val="clear" w:color="auto" w:fill="FFFFFF"/>
          </w:tcPr>
          <w:p w14:paraId="6B3FC89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0.6152</w:t>
            </w:r>
          </w:p>
        </w:tc>
        <w:tc>
          <w:tcPr>
            <w:tcW w:w="814" w:type="pct"/>
            <w:tcBorders>
              <w:top w:val="nil"/>
              <w:left w:val="nil"/>
              <w:bottom w:val="nil"/>
              <w:right w:val="nil"/>
            </w:tcBorders>
            <w:shd w:val="clear" w:color="auto" w:fill="FFFFFF"/>
          </w:tcPr>
          <w:p w14:paraId="090009E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0.5881</w:t>
            </w:r>
          </w:p>
        </w:tc>
      </w:tr>
      <w:tr w14:paraId="7130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2" w:type="pct"/>
            <w:tcBorders>
              <w:top w:val="nil"/>
              <w:left w:val="nil"/>
              <w:bottom w:val="single" w:color="000000" w:sz="12" w:space="0"/>
              <w:right w:val="nil"/>
            </w:tcBorders>
            <w:shd w:val="clear" w:color="auto" w:fill="FFFFFF"/>
          </w:tcPr>
          <w:p w14:paraId="74658F1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193" w:type="pct"/>
            <w:tcBorders>
              <w:top w:val="nil"/>
              <w:left w:val="nil"/>
              <w:bottom w:val="single" w:color="000000" w:sz="12" w:space="0"/>
              <w:right w:val="nil"/>
            </w:tcBorders>
            <w:shd w:val="clear" w:color="auto" w:fill="FFFFFF"/>
          </w:tcPr>
          <w:p w14:paraId="772F34B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MLP</w:t>
            </w:r>
          </w:p>
        </w:tc>
        <w:tc>
          <w:tcPr>
            <w:tcW w:w="814" w:type="pct"/>
            <w:tcBorders>
              <w:top w:val="nil"/>
              <w:left w:val="nil"/>
              <w:bottom w:val="single" w:color="000000" w:sz="12" w:space="0"/>
              <w:right w:val="nil"/>
            </w:tcBorders>
            <w:shd w:val="clear" w:color="auto" w:fill="FFFFFF"/>
          </w:tcPr>
          <w:p w14:paraId="6905C50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0.8148</w:t>
            </w:r>
          </w:p>
        </w:tc>
        <w:tc>
          <w:tcPr>
            <w:tcW w:w="814" w:type="pct"/>
            <w:tcBorders>
              <w:top w:val="nil"/>
              <w:left w:val="nil"/>
              <w:bottom w:val="single" w:color="000000" w:sz="12" w:space="0"/>
              <w:right w:val="nil"/>
            </w:tcBorders>
            <w:shd w:val="clear" w:color="auto" w:fill="FFFFFF"/>
          </w:tcPr>
          <w:p w14:paraId="1D640C6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0.5782</w:t>
            </w:r>
          </w:p>
        </w:tc>
        <w:tc>
          <w:tcPr>
            <w:tcW w:w="814" w:type="pct"/>
            <w:tcBorders>
              <w:top w:val="nil"/>
              <w:left w:val="nil"/>
              <w:bottom w:val="single" w:color="000000" w:sz="12" w:space="0"/>
              <w:right w:val="nil"/>
            </w:tcBorders>
            <w:shd w:val="clear" w:color="auto" w:fill="FFFFFF"/>
          </w:tcPr>
          <w:p w14:paraId="223BF4F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0.5673</w:t>
            </w:r>
          </w:p>
        </w:tc>
      </w:tr>
    </w:tbl>
    <w:p w14:paraId="7E7EBEF6">
      <w:pPr>
        <w:ind w:firstLine="480"/>
      </w:pPr>
      <w:r>
        <w:t>进一步观察综合高风险任务的ROC曲线和PR曲线，如图</w:t>
      </w:r>
      <w:r>
        <w:rPr>
          <w:rFonts w:hint="eastAsia"/>
        </w:rPr>
        <w:t>9</w:t>
      </w:r>
      <w:r>
        <w:t>所示。ROC曲线整体明显高于随机基线，表明模型具有较好的风险区分能力。由于综合高风险结局存在一定类别不平衡，仅观察ROC曲线不足以反映阳性样本识别效果，因此同步引入PR曲线进行评价。结果显</w:t>
      </w:r>
      <w:r>
        <w:rPr>
          <w:color w:val="000000" w:themeColor="text1"/>
          <w14:textFill>
            <w14:solidFill>
              <w14:schemeClr w14:val="tx1"/>
            </w14:solidFill>
          </w14:textFill>
        </w:rPr>
        <w:t>示，模型</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AUPRC为0.670，明显高于测试集阳性率基线21.8%，说明模型在不平衡样本条件下仍能</w:t>
      </w:r>
      <w:r>
        <w:t>有效识别高风险患者。相较于30天内死亡任务，综合高风险结局覆盖院内死亡、短期死亡及严重临床风险状态，更贴近预警模型的应用目标</w:t>
      </w:r>
      <w:r>
        <w:rPr>
          <w:rFonts w:hint="eastAsia"/>
        </w:rPr>
        <w:t>。</w:t>
      </w:r>
    </w:p>
    <w:p w14:paraId="5F70D8C7">
      <w:pPr>
        <w:pStyle w:val="7"/>
        <w:spacing w:before="0" w:after="0" w:line="240" w:lineRule="auto"/>
        <w:ind w:firstLine="0" w:firstLineChars="0"/>
        <w:jc w:val="center"/>
      </w:pPr>
      <w:r>
        <w:drawing>
          <wp:inline distT="0" distB="0" distL="114300" distR="114300">
            <wp:extent cx="5254625" cy="2710815"/>
            <wp:effectExtent l="0" t="0" r="3175" b="698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8"/>
                    <a:stretch>
                      <a:fillRect/>
                    </a:stretch>
                  </pic:blipFill>
                  <pic:spPr>
                    <a:xfrm>
                      <a:off x="0" y="0"/>
                      <a:ext cx="5254625" cy="2710815"/>
                    </a:xfrm>
                    <a:prstGeom prst="rect">
                      <a:avLst/>
                    </a:prstGeom>
                    <a:noFill/>
                    <a:ln>
                      <a:noFill/>
                    </a:ln>
                  </pic:spPr>
                </pic:pic>
              </a:graphicData>
            </a:graphic>
          </wp:inline>
        </w:drawing>
      </w:r>
    </w:p>
    <w:p w14:paraId="07393C6A">
      <w:pPr>
        <w:pStyle w:val="5"/>
        <w:ind w:firstLine="480"/>
      </w:pPr>
      <w:bookmarkStart w:id="109" w:name="_Toc26993"/>
      <w:r>
        <w:t>图</w:t>
      </w:r>
      <w:r>
        <w:fldChar w:fldCharType="begin"/>
      </w:r>
      <w:r>
        <w:instrText xml:space="preserve"> SEQ 图 \* ARABIC </w:instrText>
      </w:r>
      <w:r>
        <w:fldChar w:fldCharType="separate"/>
      </w:r>
      <w:r>
        <w:t>9</w:t>
      </w:r>
      <w:r>
        <w:fldChar w:fldCharType="end"/>
      </w:r>
      <w:bookmarkStart w:id="110" w:name="_Toc16536"/>
      <w:r>
        <w:rPr>
          <w:rFonts w:hint="eastAsia"/>
        </w:rPr>
        <w:t xml:space="preserve"> XGBoost模型ROC曲线与PR曲线</w:t>
      </w:r>
      <w:bookmarkEnd w:id="109"/>
      <w:bookmarkEnd w:id="110"/>
    </w:p>
    <w:p w14:paraId="39CF541F">
      <w:pPr>
        <w:ind w:firstLine="480"/>
      </w:pPr>
      <w:r>
        <w:rPr>
          <w:rFonts w:hint="eastAsia"/>
        </w:rPr>
        <w:t>整体性能说明多源融合建模具有可行性，但模型分数本身不能回答不同信息源的贡献大小。为进一步检验ECG相关变量、病情严重度变量和实验室指标的增量价值，设置特征消融实验。消融实验以Full特征集作为基准，分别删除ECG相关特征、SOFA/OASIS/ICU严重度特征和48小时实验室指标，并在相同测试集上比较模型性能变化，结果如表16所示。</w:t>
      </w:r>
    </w:p>
    <w:p w14:paraId="61DB0A24">
      <w:pPr>
        <w:pStyle w:val="5"/>
        <w:ind w:firstLine="480"/>
      </w:pPr>
      <w:bookmarkStart w:id="111" w:name="_Toc30961"/>
      <w:r>
        <w:t>表</w:t>
      </w:r>
      <w:r>
        <w:fldChar w:fldCharType="begin"/>
      </w:r>
      <w:r>
        <w:instrText xml:space="preserve"> SEQ 表 \* ARABIC </w:instrText>
      </w:r>
      <w:r>
        <w:fldChar w:fldCharType="separate"/>
      </w:r>
      <w:r>
        <w:t>16</w:t>
      </w:r>
      <w:r>
        <w:fldChar w:fldCharType="end"/>
      </w:r>
      <w:bookmarkStart w:id="112" w:name="_Toc29668"/>
      <w:r>
        <w:rPr>
          <w:rFonts w:hint="eastAsia"/>
        </w:rPr>
        <w:t xml:space="preserve"> 特征消融实验交叉验证结果</w:t>
      </w:r>
      <w:bookmarkEnd w:id="111"/>
      <w:bookmarkEnd w:id="112"/>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2851"/>
        <w:gridCol w:w="1237"/>
        <w:gridCol w:w="1229"/>
        <w:gridCol w:w="1544"/>
      </w:tblGrid>
      <w:tr w14:paraId="32DC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3" w:type="pct"/>
            <w:tcBorders>
              <w:top w:val="single" w:color="000000" w:sz="12" w:space="0"/>
              <w:left w:val="nil"/>
              <w:bottom w:val="single" w:color="000000" w:sz="4" w:space="0"/>
              <w:right w:val="nil"/>
              <w:tl2br w:val="nil"/>
            </w:tcBorders>
            <w:shd w:val="clear" w:color="auto" w:fill="FFFFFF"/>
          </w:tcPr>
          <w:p w14:paraId="2B2101F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1673" w:type="pct"/>
            <w:tcBorders>
              <w:top w:val="single" w:color="000000" w:sz="12" w:space="0"/>
              <w:left w:val="nil"/>
              <w:bottom w:val="single" w:color="000000" w:sz="4" w:space="0"/>
              <w:right w:val="nil"/>
            </w:tcBorders>
            <w:shd w:val="clear" w:color="auto" w:fill="FFFFFF"/>
          </w:tcPr>
          <w:p w14:paraId="2C55100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特征设置</w:t>
            </w:r>
          </w:p>
        </w:tc>
        <w:tc>
          <w:tcPr>
            <w:tcW w:w="726" w:type="pct"/>
            <w:tcBorders>
              <w:top w:val="single" w:color="000000" w:sz="12" w:space="0"/>
              <w:left w:val="nil"/>
              <w:bottom w:val="single" w:color="000000" w:sz="4" w:space="0"/>
              <w:right w:val="nil"/>
            </w:tcBorders>
            <w:shd w:val="clear" w:color="auto" w:fill="FFFFFF"/>
          </w:tcPr>
          <w:p w14:paraId="56540E2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721" w:type="pct"/>
            <w:tcBorders>
              <w:top w:val="single" w:color="000000" w:sz="12" w:space="0"/>
              <w:left w:val="nil"/>
              <w:bottom w:val="single" w:color="000000" w:sz="4" w:space="0"/>
              <w:right w:val="nil"/>
            </w:tcBorders>
            <w:shd w:val="clear" w:color="auto" w:fill="FFFFFF"/>
          </w:tcPr>
          <w:p w14:paraId="71B0619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c>
          <w:tcPr>
            <w:tcW w:w="906" w:type="pct"/>
            <w:tcBorders>
              <w:top w:val="single" w:color="000000" w:sz="12" w:space="0"/>
              <w:left w:val="nil"/>
              <w:bottom w:val="single" w:color="000000" w:sz="4" w:space="0"/>
              <w:right w:val="nil"/>
            </w:tcBorders>
            <w:shd w:val="clear" w:color="auto" w:fill="FFFFFF"/>
          </w:tcPr>
          <w:p w14:paraId="169D7D4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F1</w:t>
            </w:r>
          </w:p>
        </w:tc>
      </w:tr>
      <w:tr w14:paraId="1CF36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single" w:color="000000" w:sz="4" w:space="0"/>
              <w:left w:val="nil"/>
              <w:bottom w:val="nil"/>
              <w:right w:val="nil"/>
            </w:tcBorders>
            <w:shd w:val="clear" w:color="auto" w:fill="FFFFFF"/>
          </w:tcPr>
          <w:p w14:paraId="3D9DF35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673" w:type="pct"/>
            <w:tcBorders>
              <w:top w:val="single" w:color="000000" w:sz="4" w:space="0"/>
              <w:left w:val="nil"/>
              <w:bottom w:val="nil"/>
              <w:right w:val="nil"/>
            </w:tcBorders>
            <w:shd w:val="clear" w:color="auto" w:fill="FFFFFF"/>
          </w:tcPr>
          <w:p w14:paraId="6F8C08C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Full</w:t>
            </w:r>
          </w:p>
        </w:tc>
        <w:tc>
          <w:tcPr>
            <w:tcW w:w="726" w:type="pct"/>
            <w:tcBorders>
              <w:top w:val="single" w:color="000000" w:sz="4" w:space="0"/>
              <w:left w:val="nil"/>
              <w:bottom w:val="nil"/>
              <w:right w:val="nil"/>
            </w:tcBorders>
            <w:shd w:val="clear" w:color="auto" w:fill="FFFFFF"/>
          </w:tcPr>
          <w:p w14:paraId="6A395D0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0.8462</w:t>
            </w:r>
          </w:p>
        </w:tc>
        <w:tc>
          <w:tcPr>
            <w:tcW w:w="721" w:type="pct"/>
            <w:tcBorders>
              <w:top w:val="single" w:color="000000" w:sz="4" w:space="0"/>
              <w:left w:val="nil"/>
              <w:bottom w:val="nil"/>
              <w:right w:val="nil"/>
            </w:tcBorders>
            <w:shd w:val="clear" w:color="auto" w:fill="FFFFFF"/>
          </w:tcPr>
          <w:p w14:paraId="35B3ED1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0.5822</w:t>
            </w:r>
          </w:p>
        </w:tc>
        <w:tc>
          <w:tcPr>
            <w:tcW w:w="906" w:type="pct"/>
            <w:tcBorders>
              <w:top w:val="single" w:color="000000" w:sz="4" w:space="0"/>
              <w:left w:val="nil"/>
              <w:bottom w:val="nil"/>
              <w:right w:val="nil"/>
            </w:tcBorders>
            <w:shd w:val="clear" w:color="auto" w:fill="FFFFFF"/>
          </w:tcPr>
          <w:p w14:paraId="529AEFE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0.5825</w:t>
            </w:r>
          </w:p>
        </w:tc>
      </w:tr>
      <w:tr w14:paraId="2DA2A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4165943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673" w:type="pct"/>
            <w:tcBorders>
              <w:top w:val="nil"/>
              <w:left w:val="nil"/>
              <w:bottom w:val="nil"/>
              <w:right w:val="nil"/>
            </w:tcBorders>
            <w:shd w:val="clear" w:color="auto" w:fill="FFFFFF"/>
          </w:tcPr>
          <w:p w14:paraId="70F4F83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No-ECG-derived</w:t>
            </w:r>
          </w:p>
        </w:tc>
        <w:tc>
          <w:tcPr>
            <w:tcW w:w="726" w:type="pct"/>
            <w:tcBorders>
              <w:top w:val="nil"/>
              <w:left w:val="nil"/>
              <w:bottom w:val="nil"/>
              <w:right w:val="nil"/>
            </w:tcBorders>
            <w:shd w:val="clear" w:color="auto" w:fill="FFFFFF"/>
          </w:tcPr>
          <w:p w14:paraId="00E46E0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0.8008</w:t>
            </w:r>
          </w:p>
        </w:tc>
        <w:tc>
          <w:tcPr>
            <w:tcW w:w="721" w:type="pct"/>
            <w:tcBorders>
              <w:top w:val="nil"/>
              <w:left w:val="nil"/>
              <w:bottom w:val="nil"/>
              <w:right w:val="nil"/>
            </w:tcBorders>
            <w:shd w:val="clear" w:color="auto" w:fill="FFFFFF"/>
          </w:tcPr>
          <w:p w14:paraId="565E57D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0.5182</w:t>
            </w:r>
          </w:p>
        </w:tc>
        <w:tc>
          <w:tcPr>
            <w:tcW w:w="906" w:type="pct"/>
            <w:tcBorders>
              <w:top w:val="nil"/>
              <w:left w:val="nil"/>
              <w:bottom w:val="nil"/>
              <w:right w:val="nil"/>
            </w:tcBorders>
            <w:shd w:val="clear" w:color="auto" w:fill="FFFFFF"/>
          </w:tcPr>
          <w:p w14:paraId="7C5D982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0.5264</w:t>
            </w:r>
          </w:p>
        </w:tc>
      </w:tr>
      <w:tr w14:paraId="6351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53F1340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673" w:type="pct"/>
            <w:tcBorders>
              <w:top w:val="nil"/>
              <w:left w:val="nil"/>
              <w:bottom w:val="nil"/>
              <w:right w:val="nil"/>
            </w:tcBorders>
            <w:shd w:val="clear" w:color="auto" w:fill="FFFFFF"/>
          </w:tcPr>
          <w:p w14:paraId="676621D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 xml:space="preserve">No-SOFA/OASIS/ICU </w:t>
            </w:r>
          </w:p>
        </w:tc>
        <w:tc>
          <w:tcPr>
            <w:tcW w:w="726" w:type="pct"/>
            <w:tcBorders>
              <w:top w:val="nil"/>
              <w:left w:val="nil"/>
              <w:bottom w:val="nil"/>
              <w:right w:val="nil"/>
            </w:tcBorders>
            <w:shd w:val="clear" w:color="auto" w:fill="FFFFFF"/>
          </w:tcPr>
          <w:p w14:paraId="542C6C5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0.8344</w:t>
            </w:r>
          </w:p>
        </w:tc>
        <w:tc>
          <w:tcPr>
            <w:tcW w:w="721" w:type="pct"/>
            <w:tcBorders>
              <w:top w:val="nil"/>
              <w:left w:val="nil"/>
              <w:bottom w:val="nil"/>
              <w:right w:val="nil"/>
            </w:tcBorders>
            <w:shd w:val="clear" w:color="auto" w:fill="FFFFFF"/>
          </w:tcPr>
          <w:p w14:paraId="4745843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0.5522</w:t>
            </w:r>
          </w:p>
        </w:tc>
        <w:tc>
          <w:tcPr>
            <w:tcW w:w="906" w:type="pct"/>
            <w:tcBorders>
              <w:top w:val="nil"/>
              <w:left w:val="nil"/>
              <w:bottom w:val="nil"/>
              <w:right w:val="nil"/>
            </w:tcBorders>
            <w:shd w:val="clear" w:color="auto" w:fill="FFFFFF"/>
          </w:tcPr>
          <w:p w14:paraId="50EE5C2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0.5659</w:t>
            </w:r>
          </w:p>
        </w:tc>
      </w:tr>
      <w:tr w14:paraId="4FC1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51FF498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1673" w:type="pct"/>
            <w:tcBorders>
              <w:top w:val="nil"/>
              <w:left w:val="nil"/>
              <w:bottom w:val="nil"/>
              <w:right w:val="nil"/>
            </w:tcBorders>
            <w:shd w:val="clear" w:color="auto" w:fill="FFFFFF"/>
          </w:tcPr>
          <w:p w14:paraId="49B560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No-lab 48h</w:t>
            </w:r>
          </w:p>
        </w:tc>
        <w:tc>
          <w:tcPr>
            <w:tcW w:w="726" w:type="pct"/>
            <w:tcBorders>
              <w:top w:val="nil"/>
              <w:left w:val="nil"/>
              <w:bottom w:val="nil"/>
              <w:right w:val="nil"/>
            </w:tcBorders>
            <w:shd w:val="clear" w:color="auto" w:fill="FFFFFF"/>
          </w:tcPr>
          <w:p w14:paraId="4E334EB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0.8346</w:t>
            </w:r>
          </w:p>
        </w:tc>
        <w:tc>
          <w:tcPr>
            <w:tcW w:w="721" w:type="pct"/>
            <w:tcBorders>
              <w:top w:val="nil"/>
              <w:left w:val="nil"/>
              <w:bottom w:val="nil"/>
              <w:right w:val="nil"/>
            </w:tcBorders>
            <w:shd w:val="clear" w:color="auto" w:fill="FFFFFF"/>
          </w:tcPr>
          <w:p w14:paraId="215F4A2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0.5521</w:t>
            </w:r>
          </w:p>
        </w:tc>
        <w:tc>
          <w:tcPr>
            <w:tcW w:w="906" w:type="pct"/>
            <w:tcBorders>
              <w:top w:val="nil"/>
              <w:left w:val="nil"/>
              <w:bottom w:val="nil"/>
              <w:right w:val="nil"/>
            </w:tcBorders>
            <w:shd w:val="clear" w:color="auto" w:fill="FFFFFF"/>
          </w:tcPr>
          <w:p w14:paraId="5FAB755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0.5598</w:t>
            </w:r>
          </w:p>
        </w:tc>
      </w:tr>
      <w:tr w14:paraId="777E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973" w:type="pct"/>
            <w:tcBorders>
              <w:top w:val="nil"/>
              <w:left w:val="nil"/>
              <w:bottom w:val="nil"/>
              <w:right w:val="nil"/>
            </w:tcBorders>
            <w:shd w:val="clear" w:color="auto" w:fill="FFFFFF"/>
          </w:tcPr>
          <w:p w14:paraId="3CBDAAC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673" w:type="pct"/>
            <w:tcBorders>
              <w:top w:val="nil"/>
              <w:left w:val="nil"/>
              <w:bottom w:val="nil"/>
              <w:right w:val="nil"/>
            </w:tcBorders>
            <w:shd w:val="clear" w:color="auto" w:fill="FFFFFF"/>
          </w:tcPr>
          <w:p w14:paraId="534D07D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Full</w:t>
            </w:r>
          </w:p>
        </w:tc>
        <w:tc>
          <w:tcPr>
            <w:tcW w:w="726" w:type="pct"/>
            <w:tcBorders>
              <w:top w:val="nil"/>
              <w:left w:val="nil"/>
              <w:bottom w:val="nil"/>
              <w:right w:val="nil"/>
            </w:tcBorders>
            <w:shd w:val="clear" w:color="auto" w:fill="FFFFFF"/>
          </w:tcPr>
          <w:p w14:paraId="4D33308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0.8559</w:t>
            </w:r>
          </w:p>
        </w:tc>
        <w:tc>
          <w:tcPr>
            <w:tcW w:w="721" w:type="pct"/>
            <w:tcBorders>
              <w:top w:val="nil"/>
              <w:left w:val="nil"/>
              <w:bottom w:val="nil"/>
              <w:right w:val="nil"/>
            </w:tcBorders>
            <w:shd w:val="clear" w:color="auto" w:fill="FFFFFF"/>
          </w:tcPr>
          <w:p w14:paraId="3FDA82D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0.6712</w:t>
            </w:r>
          </w:p>
        </w:tc>
        <w:tc>
          <w:tcPr>
            <w:tcW w:w="906" w:type="pct"/>
            <w:tcBorders>
              <w:top w:val="nil"/>
              <w:left w:val="nil"/>
              <w:bottom w:val="nil"/>
              <w:right w:val="nil"/>
            </w:tcBorders>
            <w:shd w:val="clear" w:color="auto" w:fill="FFFFFF"/>
          </w:tcPr>
          <w:p w14:paraId="3CD94D7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0.6215</w:t>
            </w:r>
          </w:p>
        </w:tc>
      </w:tr>
      <w:tr w14:paraId="3AF6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4CC5233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673" w:type="pct"/>
            <w:tcBorders>
              <w:top w:val="nil"/>
              <w:left w:val="nil"/>
              <w:bottom w:val="nil"/>
              <w:right w:val="nil"/>
            </w:tcBorders>
            <w:shd w:val="clear" w:color="auto" w:fill="FFFFFF"/>
          </w:tcPr>
          <w:p w14:paraId="41E3D6C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No-ECG-derived</w:t>
            </w:r>
          </w:p>
        </w:tc>
        <w:tc>
          <w:tcPr>
            <w:tcW w:w="726" w:type="pct"/>
            <w:tcBorders>
              <w:top w:val="nil"/>
              <w:left w:val="nil"/>
              <w:bottom w:val="nil"/>
              <w:right w:val="nil"/>
            </w:tcBorders>
            <w:shd w:val="clear" w:color="auto" w:fill="FFFFFF"/>
          </w:tcPr>
          <w:p w14:paraId="5CB48C0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0.8248</w:t>
            </w:r>
          </w:p>
        </w:tc>
        <w:tc>
          <w:tcPr>
            <w:tcW w:w="721" w:type="pct"/>
            <w:tcBorders>
              <w:top w:val="nil"/>
              <w:left w:val="nil"/>
              <w:bottom w:val="nil"/>
              <w:right w:val="nil"/>
            </w:tcBorders>
            <w:shd w:val="clear" w:color="auto" w:fill="FFFFFF"/>
          </w:tcPr>
          <w:p w14:paraId="156CD7A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0.6166</w:t>
            </w:r>
          </w:p>
        </w:tc>
        <w:tc>
          <w:tcPr>
            <w:tcW w:w="906" w:type="pct"/>
            <w:tcBorders>
              <w:top w:val="nil"/>
              <w:left w:val="nil"/>
              <w:bottom w:val="nil"/>
              <w:right w:val="nil"/>
            </w:tcBorders>
            <w:shd w:val="clear" w:color="auto" w:fill="FFFFFF"/>
          </w:tcPr>
          <w:p w14:paraId="0B9A568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0.5861</w:t>
            </w:r>
          </w:p>
        </w:tc>
      </w:tr>
      <w:tr w14:paraId="2494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nil"/>
              <w:right w:val="nil"/>
            </w:tcBorders>
            <w:shd w:val="clear" w:color="auto" w:fill="FFFFFF"/>
          </w:tcPr>
          <w:p w14:paraId="3098911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673" w:type="pct"/>
            <w:tcBorders>
              <w:top w:val="nil"/>
              <w:left w:val="nil"/>
              <w:bottom w:val="nil"/>
              <w:right w:val="nil"/>
            </w:tcBorders>
            <w:shd w:val="clear" w:color="auto" w:fill="FFFFFF"/>
          </w:tcPr>
          <w:p w14:paraId="68035B8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 xml:space="preserve">No-SOFA/OASIS/ICU </w:t>
            </w:r>
          </w:p>
        </w:tc>
        <w:tc>
          <w:tcPr>
            <w:tcW w:w="726" w:type="pct"/>
            <w:tcBorders>
              <w:top w:val="nil"/>
              <w:left w:val="nil"/>
              <w:bottom w:val="nil"/>
              <w:right w:val="nil"/>
            </w:tcBorders>
            <w:shd w:val="clear" w:color="auto" w:fill="FFFFFF"/>
          </w:tcPr>
          <w:p w14:paraId="63DA1B2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0.8575</w:t>
            </w:r>
          </w:p>
        </w:tc>
        <w:tc>
          <w:tcPr>
            <w:tcW w:w="721" w:type="pct"/>
            <w:tcBorders>
              <w:top w:val="nil"/>
              <w:left w:val="nil"/>
              <w:bottom w:val="nil"/>
              <w:right w:val="nil"/>
            </w:tcBorders>
            <w:shd w:val="clear" w:color="auto" w:fill="FFFFFF"/>
          </w:tcPr>
          <w:p w14:paraId="4150CFA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0.6708</w:t>
            </w:r>
          </w:p>
        </w:tc>
        <w:tc>
          <w:tcPr>
            <w:tcW w:w="906" w:type="pct"/>
            <w:tcBorders>
              <w:top w:val="nil"/>
              <w:left w:val="nil"/>
              <w:bottom w:val="nil"/>
              <w:right w:val="nil"/>
            </w:tcBorders>
            <w:shd w:val="clear" w:color="auto" w:fill="FFFFFF"/>
          </w:tcPr>
          <w:p w14:paraId="543C339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0.6243</w:t>
            </w:r>
          </w:p>
        </w:tc>
      </w:tr>
      <w:tr w14:paraId="768A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 w:type="pct"/>
            <w:tcBorders>
              <w:top w:val="nil"/>
              <w:left w:val="nil"/>
              <w:bottom w:val="single" w:color="000000" w:sz="12" w:space="0"/>
              <w:right w:val="nil"/>
            </w:tcBorders>
            <w:shd w:val="clear" w:color="auto" w:fill="FFFFFF"/>
          </w:tcPr>
          <w:p w14:paraId="7530458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1673" w:type="pct"/>
            <w:tcBorders>
              <w:top w:val="nil"/>
              <w:left w:val="nil"/>
              <w:bottom w:val="single" w:color="000000" w:sz="12" w:space="0"/>
              <w:right w:val="nil"/>
            </w:tcBorders>
            <w:shd w:val="clear" w:color="auto" w:fill="FFFFFF"/>
          </w:tcPr>
          <w:p w14:paraId="57E8C8C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No-lab 48h</w:t>
            </w:r>
          </w:p>
        </w:tc>
        <w:tc>
          <w:tcPr>
            <w:tcW w:w="726" w:type="pct"/>
            <w:tcBorders>
              <w:top w:val="nil"/>
              <w:left w:val="nil"/>
              <w:bottom w:val="single" w:color="000000" w:sz="12" w:space="0"/>
              <w:right w:val="nil"/>
            </w:tcBorders>
            <w:shd w:val="clear" w:color="auto" w:fill="FFFFFF"/>
          </w:tcPr>
          <w:p w14:paraId="186B47B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0.8558</w:t>
            </w:r>
          </w:p>
        </w:tc>
        <w:tc>
          <w:tcPr>
            <w:tcW w:w="721" w:type="pct"/>
            <w:tcBorders>
              <w:top w:val="nil"/>
              <w:left w:val="nil"/>
              <w:bottom w:val="single" w:color="000000" w:sz="12" w:space="0"/>
              <w:right w:val="nil"/>
            </w:tcBorders>
            <w:shd w:val="clear" w:color="auto" w:fill="FFFFFF"/>
          </w:tcPr>
          <w:p w14:paraId="66AA437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0.6695</w:t>
            </w:r>
          </w:p>
        </w:tc>
        <w:tc>
          <w:tcPr>
            <w:tcW w:w="906" w:type="pct"/>
            <w:tcBorders>
              <w:top w:val="nil"/>
              <w:left w:val="nil"/>
              <w:bottom w:val="single" w:color="000000" w:sz="12" w:space="0"/>
              <w:right w:val="nil"/>
            </w:tcBorders>
            <w:shd w:val="clear" w:color="auto" w:fill="FFFFFF"/>
          </w:tcPr>
          <w:p w14:paraId="2CEC0BB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0.6132</w:t>
            </w:r>
          </w:p>
        </w:tc>
      </w:tr>
      <w:bookmarkEnd w:id="106"/>
    </w:tbl>
    <w:p w14:paraId="37C20534">
      <w:pPr>
        <w:ind w:firstLine="480"/>
      </w:pPr>
      <w:r>
        <w:t>特征消融结果显示，去除ECG相关变量后模型性能下降最明显：30天内死亡任务AUC由0.</w:t>
      </w:r>
      <w:r>
        <w:rPr>
          <w:rFonts w:hint="eastAsia" w:cs="Times New Roman"/>
          <w:color w:val="000000"/>
          <w:spacing w:val="4"/>
          <w:kern w:val="0"/>
        </w:rPr>
        <w:t>8462</w:t>
      </w:r>
      <w:r>
        <w:t>降至0.8008，综合高风险任务AUC由0.8559降至0.8248。</w:t>
      </w:r>
      <w:r>
        <w:rPr>
          <w:rFonts w:hint="eastAsia"/>
        </w:rPr>
        <w:t>相比之下，</w:t>
      </w:r>
      <w:r>
        <w:t>去除严重度变量和48小时实验室变量后的变化较小，模型性能变化较小</w:t>
      </w:r>
      <w:r>
        <w:rPr>
          <w:rFonts w:hint="eastAsia"/>
        </w:rPr>
        <w:t>。由此可知，</w:t>
      </w:r>
      <w:r>
        <w:t>ECG结构化特征、TCN迁移表征和住院内ECG动态聚合在当前多源融合模型中提供了关键增量信息。</w:t>
      </w:r>
    </w:p>
    <w:p w14:paraId="294E6E17">
      <w:pPr>
        <w:ind w:firstLine="480"/>
      </w:pPr>
      <w:r>
        <w:t>综合来看，模型性能比较和特征消融结果共同表明：近期高危风险预测不能仅依赖传统临床变量，心电信息在多源融合框架中具有独立贡献。尤其是TCN生成的心电高危表型强度及其住院层面聚合特征，能够将分散的ECG波形和检查记录压缩为可用于结构化建模的风险表征</w:t>
      </w:r>
      <w:r>
        <w:rPr>
          <w:rFonts w:hint="eastAsia"/>
        </w:rPr>
        <w:t>。</w:t>
      </w:r>
    </w:p>
    <w:p w14:paraId="40E225CC">
      <w:pPr>
        <w:pStyle w:val="3"/>
        <w:ind w:firstLine="560"/>
      </w:pPr>
      <w:bookmarkStart w:id="113" w:name="_Toc14055"/>
      <w:r>
        <w:rPr>
          <w:rFonts w:hint="eastAsia"/>
        </w:rPr>
        <w:t>（三）稳定性验证与风险分层</w:t>
      </w:r>
      <w:bookmarkEnd w:id="113"/>
    </w:p>
    <w:p w14:paraId="3ED0DADA">
      <w:pPr>
        <w:ind w:firstLine="480"/>
      </w:pPr>
      <w:r>
        <w:t>模型性能指标反映了总体区分能力，但临床预警更关注模型输出能否形成稳定、可解释的风险梯度。因此，在测试集评价基础上，进一步采用Bootstrap重采样、风险十分位分层和四级预警分层检验模型输出的稳定性与可转化性。</w:t>
      </w:r>
    </w:p>
    <w:p w14:paraId="6D68AB91">
      <w:pPr>
        <w:ind w:firstLine="480"/>
      </w:pPr>
      <w:r>
        <w:t>Bootstrap重采样结果显示，两个预测任务的AUC和AP置信区间均较集中，说明模型在测试集扰动下具有较稳定的区分能力。其中，综合高风险任务AUC约为0.856，AP约为0.671，整体优于30天内死亡任务</w:t>
      </w:r>
      <w:r>
        <w:rPr>
          <w:rFonts w:hint="eastAsia"/>
        </w:rPr>
        <w:t>，故</w:t>
      </w:r>
      <w:r>
        <w:t>其作为临床预警主任务具有更好的稳定性和识别效果</w:t>
      </w:r>
      <w:r>
        <w:rPr>
          <w:rFonts w:hint="eastAsia"/>
        </w:rPr>
        <w:t>，如表17-19所示。</w:t>
      </w:r>
    </w:p>
    <w:p w14:paraId="638AD9BA">
      <w:pPr>
        <w:pStyle w:val="5"/>
        <w:ind w:firstLine="480"/>
      </w:pPr>
      <w:bookmarkStart w:id="114" w:name="_Toc12726"/>
      <w:r>
        <w:t>表</w:t>
      </w:r>
      <w:r>
        <w:fldChar w:fldCharType="begin"/>
      </w:r>
      <w:r>
        <w:instrText xml:space="preserve"> SEQ 表 \* ARABIC </w:instrText>
      </w:r>
      <w:r>
        <w:fldChar w:fldCharType="separate"/>
      </w:r>
      <w:r>
        <w:t>17</w:t>
      </w:r>
      <w:r>
        <w:fldChar w:fldCharType="end"/>
      </w:r>
      <w:bookmarkStart w:id="115" w:name="_Toc24259"/>
      <w:r>
        <w:rPr>
          <w:rFonts w:hint="eastAsia"/>
        </w:rPr>
        <w:t xml:space="preserve"> 患者级GroupKFold交叉验证结果</w:t>
      </w:r>
      <w:bookmarkEnd w:id="114"/>
      <w:bookmarkEnd w:id="115"/>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4"/>
        <w:gridCol w:w="3294"/>
        <w:gridCol w:w="3294"/>
      </w:tblGrid>
      <w:tr w14:paraId="7D04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tcPr>
          <w:p w14:paraId="60CF9EB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0" w:type="auto"/>
            <w:tcBorders>
              <w:top w:val="single" w:color="000000" w:sz="12" w:space="0"/>
              <w:left w:val="nil"/>
              <w:bottom w:val="single" w:color="000000" w:sz="4" w:space="0"/>
              <w:right w:val="nil"/>
            </w:tcBorders>
            <w:shd w:val="clear" w:color="auto" w:fill="FFFFFF"/>
          </w:tcPr>
          <w:p w14:paraId="1809C7A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0" w:type="auto"/>
            <w:tcBorders>
              <w:top w:val="single" w:color="000000" w:sz="12" w:space="0"/>
              <w:left w:val="nil"/>
              <w:bottom w:val="single" w:color="000000" w:sz="4" w:space="0"/>
              <w:right w:val="nil"/>
            </w:tcBorders>
            <w:shd w:val="clear" w:color="auto" w:fill="FFFFFF"/>
          </w:tcPr>
          <w:p w14:paraId="4A3C0E7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r>
      <w:tr w14:paraId="3708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2AAB37D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0" w:type="auto"/>
            <w:tcBorders>
              <w:top w:val="single" w:color="000000" w:sz="4" w:space="0"/>
              <w:left w:val="nil"/>
              <w:bottom w:val="nil"/>
              <w:right w:val="nil"/>
            </w:tcBorders>
            <w:shd w:val="clear" w:color="auto" w:fill="FFFFFF"/>
          </w:tcPr>
          <w:p w14:paraId="058AE1E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0.8462 (0.8264-0.8569)</w:t>
            </w:r>
          </w:p>
        </w:tc>
        <w:tc>
          <w:tcPr>
            <w:tcW w:w="0" w:type="auto"/>
            <w:tcBorders>
              <w:top w:val="single" w:color="000000" w:sz="4" w:space="0"/>
              <w:left w:val="nil"/>
              <w:bottom w:val="nil"/>
              <w:right w:val="nil"/>
            </w:tcBorders>
            <w:shd w:val="clear" w:color="auto" w:fill="FFFFFF"/>
          </w:tcPr>
          <w:p w14:paraId="3C08C20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0.5825 (0.5273-0.6000)</w:t>
            </w:r>
          </w:p>
        </w:tc>
      </w:tr>
      <w:tr w14:paraId="56ED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6CA4EC9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0" w:type="auto"/>
            <w:tcBorders>
              <w:top w:val="nil"/>
              <w:left w:val="nil"/>
              <w:bottom w:val="single" w:color="000000" w:sz="12" w:space="0"/>
              <w:right w:val="nil"/>
            </w:tcBorders>
            <w:shd w:val="clear" w:color="auto" w:fill="FFFFFF"/>
          </w:tcPr>
          <w:p w14:paraId="0E152CF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0.8560 (0.8439-0.8692)</w:t>
            </w:r>
          </w:p>
        </w:tc>
        <w:tc>
          <w:tcPr>
            <w:tcW w:w="0" w:type="auto"/>
            <w:tcBorders>
              <w:top w:val="nil"/>
              <w:left w:val="nil"/>
              <w:bottom w:val="single" w:color="000000" w:sz="12" w:space="0"/>
              <w:right w:val="nil"/>
            </w:tcBorders>
            <w:shd w:val="clear" w:color="auto" w:fill="FFFFFF"/>
          </w:tcPr>
          <w:p w14:paraId="5D6A6D3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0.6710 (0.6377-0.7000)</w:t>
            </w:r>
          </w:p>
        </w:tc>
      </w:tr>
    </w:tbl>
    <w:p w14:paraId="5D8E0C9B">
      <w:pPr>
        <w:pStyle w:val="5"/>
        <w:ind w:firstLine="480"/>
      </w:pPr>
      <w:bookmarkStart w:id="116" w:name="_Toc26843"/>
      <w:r>
        <w:t>表</w:t>
      </w:r>
      <w:r>
        <w:fldChar w:fldCharType="begin"/>
      </w:r>
      <w:r>
        <w:instrText xml:space="preserve"> SEQ 表 \* ARABIC </w:instrText>
      </w:r>
      <w:r>
        <w:fldChar w:fldCharType="separate"/>
      </w:r>
      <w:r>
        <w:t>18</w:t>
      </w:r>
      <w:r>
        <w:fldChar w:fldCharType="end"/>
      </w:r>
      <w:bookmarkStart w:id="117" w:name="_Toc1487"/>
      <w:r>
        <w:rPr>
          <w:rFonts w:hint="eastAsia"/>
        </w:rPr>
        <w:t xml:space="preserve"> Bootstrap置信区间与阈值分类结果</w:t>
      </w:r>
      <w:bookmarkEnd w:id="116"/>
      <w:bookmarkEnd w:id="117"/>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5"/>
        <w:gridCol w:w="1470"/>
        <w:gridCol w:w="1228"/>
        <w:gridCol w:w="1261"/>
        <w:gridCol w:w="797"/>
        <w:gridCol w:w="1023"/>
        <w:gridCol w:w="929"/>
        <w:gridCol w:w="849"/>
      </w:tblGrid>
      <w:tr w14:paraId="287A2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66" w:type="pct"/>
            <w:tcBorders>
              <w:top w:val="single" w:color="000000" w:sz="12" w:space="0"/>
              <w:left w:val="nil"/>
              <w:bottom w:val="single" w:color="000000" w:sz="4" w:space="0"/>
              <w:right w:val="nil"/>
              <w:tl2br w:val="nil"/>
            </w:tcBorders>
            <w:shd w:val="clear" w:color="auto" w:fill="FFFFFF"/>
            <w:vAlign w:val="center"/>
          </w:tcPr>
          <w:p w14:paraId="2D86864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861" w:type="pct"/>
            <w:tcBorders>
              <w:top w:val="single" w:color="000000" w:sz="12" w:space="0"/>
              <w:left w:val="nil"/>
              <w:bottom w:val="single" w:color="000000" w:sz="4" w:space="0"/>
              <w:right w:val="nil"/>
            </w:tcBorders>
            <w:shd w:val="clear" w:color="auto" w:fill="FFFFFF"/>
            <w:vAlign w:val="center"/>
          </w:tcPr>
          <w:p w14:paraId="1CD92D5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模型</w:t>
            </w:r>
          </w:p>
        </w:tc>
        <w:tc>
          <w:tcPr>
            <w:tcW w:w="719" w:type="pct"/>
            <w:tcBorders>
              <w:top w:val="single" w:color="000000" w:sz="12" w:space="0"/>
              <w:left w:val="nil"/>
              <w:bottom w:val="single" w:color="000000" w:sz="4" w:space="0"/>
              <w:right w:val="nil"/>
            </w:tcBorders>
            <w:shd w:val="clear" w:color="auto" w:fill="FFFFFF"/>
            <w:vAlign w:val="center"/>
          </w:tcPr>
          <w:p w14:paraId="52ACAE7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739" w:type="pct"/>
            <w:tcBorders>
              <w:top w:val="single" w:color="000000" w:sz="12" w:space="0"/>
              <w:left w:val="nil"/>
              <w:bottom w:val="single" w:color="000000" w:sz="4" w:space="0"/>
              <w:right w:val="nil"/>
            </w:tcBorders>
            <w:shd w:val="clear" w:color="auto" w:fill="FFFFFF"/>
            <w:vAlign w:val="center"/>
          </w:tcPr>
          <w:p w14:paraId="45AD882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95% CI</w:t>
            </w:r>
          </w:p>
        </w:tc>
        <w:tc>
          <w:tcPr>
            <w:tcW w:w="468" w:type="pct"/>
            <w:tcBorders>
              <w:top w:val="single" w:color="000000" w:sz="12" w:space="0"/>
              <w:left w:val="nil"/>
              <w:bottom w:val="single" w:color="000000" w:sz="4" w:space="0"/>
              <w:right w:val="nil"/>
            </w:tcBorders>
            <w:shd w:val="clear" w:color="auto" w:fill="FFFFFF"/>
            <w:vAlign w:val="center"/>
          </w:tcPr>
          <w:p w14:paraId="2D4D559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c>
          <w:tcPr>
            <w:tcW w:w="600" w:type="pct"/>
            <w:tcBorders>
              <w:top w:val="single" w:color="000000" w:sz="12" w:space="0"/>
              <w:left w:val="nil"/>
              <w:bottom w:val="single" w:color="000000" w:sz="4" w:space="0"/>
              <w:right w:val="nil"/>
            </w:tcBorders>
            <w:shd w:val="clear" w:color="auto" w:fill="FFFFFF"/>
            <w:vAlign w:val="center"/>
          </w:tcPr>
          <w:p w14:paraId="0AD8C99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95% CI</w:t>
            </w:r>
          </w:p>
        </w:tc>
        <w:tc>
          <w:tcPr>
            <w:tcW w:w="545" w:type="pct"/>
            <w:tcBorders>
              <w:top w:val="single" w:color="000000" w:sz="12" w:space="0"/>
              <w:left w:val="nil"/>
              <w:bottom w:val="single" w:color="000000" w:sz="4" w:space="0"/>
              <w:right w:val="nil"/>
            </w:tcBorders>
            <w:shd w:val="clear" w:color="auto" w:fill="FFFFFF"/>
            <w:vAlign w:val="center"/>
          </w:tcPr>
          <w:p w14:paraId="39BA498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灵敏度</w:t>
            </w:r>
          </w:p>
        </w:tc>
        <w:tc>
          <w:tcPr>
            <w:tcW w:w="498" w:type="pct"/>
            <w:tcBorders>
              <w:top w:val="single" w:color="000000" w:sz="12" w:space="0"/>
              <w:left w:val="nil"/>
              <w:bottom w:val="single" w:color="000000" w:sz="4" w:space="0"/>
              <w:right w:val="nil"/>
            </w:tcBorders>
            <w:shd w:val="clear" w:color="auto" w:fill="FFFFFF"/>
            <w:vAlign w:val="center"/>
          </w:tcPr>
          <w:p w14:paraId="3AA35ED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特异度</w:t>
            </w:r>
          </w:p>
        </w:tc>
      </w:tr>
      <w:tr w14:paraId="78A8C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pct"/>
            <w:tcBorders>
              <w:top w:val="single" w:color="000000" w:sz="4" w:space="0"/>
              <w:left w:val="nil"/>
              <w:bottom w:val="single" w:color="000000" w:sz="12" w:space="0"/>
              <w:right w:val="nil"/>
            </w:tcBorders>
            <w:shd w:val="clear" w:color="auto" w:fill="FFFFFF"/>
            <w:vAlign w:val="center"/>
          </w:tcPr>
          <w:p w14:paraId="71C4477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861" w:type="pct"/>
            <w:tcBorders>
              <w:top w:val="single" w:color="000000" w:sz="4" w:space="0"/>
              <w:left w:val="nil"/>
              <w:bottom w:val="single" w:color="000000" w:sz="12" w:space="0"/>
              <w:right w:val="nil"/>
            </w:tcBorders>
            <w:shd w:val="clear" w:color="auto" w:fill="FFFFFF"/>
            <w:vAlign w:val="center"/>
          </w:tcPr>
          <w:p w14:paraId="11F6ED3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XGBoost</w:t>
            </w:r>
          </w:p>
        </w:tc>
        <w:tc>
          <w:tcPr>
            <w:tcW w:w="719" w:type="pct"/>
            <w:tcBorders>
              <w:top w:val="single" w:color="000000" w:sz="4" w:space="0"/>
              <w:left w:val="nil"/>
              <w:bottom w:val="single" w:color="000000" w:sz="12" w:space="0"/>
              <w:right w:val="nil"/>
            </w:tcBorders>
            <w:shd w:val="clear" w:color="auto" w:fill="FFFFFF"/>
            <w:vAlign w:val="center"/>
          </w:tcPr>
          <w:p w14:paraId="48F7EF7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0.8559</w:t>
            </w:r>
          </w:p>
        </w:tc>
        <w:tc>
          <w:tcPr>
            <w:tcW w:w="739" w:type="pct"/>
            <w:tcBorders>
              <w:top w:val="single" w:color="000000" w:sz="4" w:space="0"/>
              <w:left w:val="nil"/>
              <w:bottom w:val="single" w:color="000000" w:sz="12" w:space="0"/>
              <w:right w:val="nil"/>
            </w:tcBorders>
            <w:shd w:val="clear" w:color="auto" w:fill="FFFFFF"/>
            <w:vAlign w:val="center"/>
          </w:tcPr>
          <w:p w14:paraId="6AA970F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0.8439-0.8692</w:t>
            </w:r>
          </w:p>
        </w:tc>
        <w:tc>
          <w:tcPr>
            <w:tcW w:w="468" w:type="pct"/>
            <w:tcBorders>
              <w:top w:val="single" w:color="000000" w:sz="4" w:space="0"/>
              <w:left w:val="nil"/>
              <w:bottom w:val="single" w:color="000000" w:sz="12" w:space="0"/>
              <w:right w:val="nil"/>
            </w:tcBorders>
            <w:shd w:val="clear" w:color="auto" w:fill="FFFFFF"/>
            <w:vAlign w:val="center"/>
          </w:tcPr>
          <w:p w14:paraId="015F359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0.6712</w:t>
            </w:r>
          </w:p>
        </w:tc>
        <w:tc>
          <w:tcPr>
            <w:tcW w:w="600" w:type="pct"/>
            <w:tcBorders>
              <w:top w:val="single" w:color="000000" w:sz="4" w:space="0"/>
              <w:left w:val="nil"/>
              <w:bottom w:val="single" w:color="000000" w:sz="12" w:space="0"/>
              <w:right w:val="nil"/>
            </w:tcBorders>
            <w:shd w:val="clear" w:color="auto" w:fill="FFFFFF"/>
            <w:vAlign w:val="center"/>
          </w:tcPr>
          <w:p w14:paraId="3C98438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0.6377-0.7000</w:t>
            </w:r>
          </w:p>
        </w:tc>
        <w:tc>
          <w:tcPr>
            <w:tcW w:w="545" w:type="pct"/>
            <w:tcBorders>
              <w:top w:val="single" w:color="000000" w:sz="4" w:space="0"/>
              <w:left w:val="nil"/>
              <w:bottom w:val="single" w:color="000000" w:sz="12" w:space="0"/>
              <w:right w:val="nil"/>
            </w:tcBorders>
            <w:shd w:val="clear" w:color="auto" w:fill="FFFFFF"/>
            <w:vAlign w:val="center"/>
          </w:tcPr>
          <w:p w14:paraId="3863E2D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见阈值表</w:t>
            </w:r>
          </w:p>
        </w:tc>
        <w:tc>
          <w:tcPr>
            <w:tcW w:w="498" w:type="pct"/>
            <w:tcBorders>
              <w:top w:val="single" w:color="000000" w:sz="4" w:space="0"/>
              <w:left w:val="nil"/>
              <w:bottom w:val="single" w:color="000000" w:sz="12" w:space="0"/>
              <w:right w:val="nil"/>
            </w:tcBorders>
            <w:shd w:val="clear" w:color="auto" w:fill="FFFFFF"/>
            <w:vAlign w:val="center"/>
          </w:tcPr>
          <w:p w14:paraId="6B034CD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见阈值表</w:t>
            </w:r>
          </w:p>
        </w:tc>
      </w:tr>
    </w:tbl>
    <w:p w14:paraId="7D23B26D">
      <w:pPr>
        <w:pStyle w:val="5"/>
        <w:ind w:firstLine="480"/>
        <w:rPr>
          <w:rFonts w:cstheme="minorBidi"/>
          <w:szCs w:val="22"/>
          <w14:ligatures w14:val="none"/>
        </w:rPr>
      </w:pPr>
      <w:bookmarkStart w:id="118" w:name="_Toc5068"/>
      <w:r>
        <w:t>表</w:t>
      </w:r>
      <w:r>
        <w:fldChar w:fldCharType="begin"/>
      </w:r>
      <w:r>
        <w:instrText xml:space="preserve"> SEQ 表 \* ARABIC </w:instrText>
      </w:r>
      <w:r>
        <w:fldChar w:fldCharType="separate"/>
      </w:r>
      <w:r>
        <w:t>19</w:t>
      </w:r>
      <w:r>
        <w:fldChar w:fldCharType="end"/>
      </w:r>
      <w:bookmarkStart w:id="119" w:name="_Toc31931"/>
      <w:r>
        <w:rPr>
          <w:rFonts w:hint="eastAsia" w:cstheme="minorBidi"/>
          <w:szCs w:val="22"/>
          <w14:ligatures w14:val="none"/>
        </w:rPr>
        <w:t xml:space="preserve"> ICU与非ICU子集验证结果</w:t>
      </w:r>
      <w:bookmarkEnd w:id="118"/>
      <w:bookmarkEnd w:id="119"/>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7"/>
        <w:gridCol w:w="2662"/>
        <w:gridCol w:w="1591"/>
        <w:gridCol w:w="1591"/>
      </w:tblGrid>
      <w:tr w14:paraId="3E83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78" w:type="dxa"/>
            <w:tcBorders>
              <w:top w:val="single" w:color="000000" w:sz="12" w:space="0"/>
              <w:left w:val="nil"/>
              <w:bottom w:val="single" w:color="000000" w:sz="4" w:space="0"/>
              <w:right w:val="nil"/>
              <w:tl2br w:val="nil"/>
            </w:tcBorders>
            <w:shd w:val="clear" w:color="auto" w:fill="FFFFFF"/>
          </w:tcPr>
          <w:p w14:paraId="5D80F50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预测目标</w:t>
            </w:r>
          </w:p>
        </w:tc>
        <w:tc>
          <w:tcPr>
            <w:tcW w:w="2664" w:type="dxa"/>
            <w:tcBorders>
              <w:top w:val="single" w:color="000000" w:sz="12" w:space="0"/>
              <w:left w:val="nil"/>
              <w:bottom w:val="single" w:color="000000" w:sz="4" w:space="0"/>
              <w:right w:val="nil"/>
            </w:tcBorders>
            <w:shd w:val="clear" w:color="auto" w:fill="FFFFFF"/>
          </w:tcPr>
          <w:p w14:paraId="37443FD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子集</w:t>
            </w:r>
          </w:p>
        </w:tc>
        <w:tc>
          <w:tcPr>
            <w:tcW w:w="1590" w:type="dxa"/>
            <w:tcBorders>
              <w:top w:val="single" w:color="000000" w:sz="12" w:space="0"/>
              <w:left w:val="nil"/>
              <w:bottom w:val="single" w:color="000000" w:sz="4" w:space="0"/>
              <w:right w:val="nil"/>
            </w:tcBorders>
            <w:shd w:val="clear" w:color="auto" w:fill="FFFFFF"/>
          </w:tcPr>
          <w:p w14:paraId="50520D7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AUC</w:t>
            </w:r>
          </w:p>
        </w:tc>
        <w:tc>
          <w:tcPr>
            <w:tcW w:w="1590" w:type="dxa"/>
            <w:tcBorders>
              <w:top w:val="single" w:color="000000" w:sz="12" w:space="0"/>
              <w:left w:val="nil"/>
              <w:bottom w:val="single" w:color="000000" w:sz="4" w:space="0"/>
              <w:right w:val="nil"/>
            </w:tcBorders>
            <w:shd w:val="clear" w:color="auto" w:fill="FFFFFF"/>
          </w:tcPr>
          <w:p w14:paraId="76DAAF4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AP</w:t>
            </w:r>
          </w:p>
        </w:tc>
      </w:tr>
      <w:tr w14:paraId="5748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tcBorders>
              <w:top w:val="single" w:color="000000" w:sz="4" w:space="0"/>
              <w:left w:val="nil"/>
              <w:bottom w:val="nil"/>
              <w:right w:val="nil"/>
            </w:tcBorders>
            <w:shd w:val="clear" w:color="auto" w:fill="FFFFFF"/>
          </w:tcPr>
          <w:p w14:paraId="611486A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30天内死亡</w:t>
            </w:r>
          </w:p>
        </w:tc>
        <w:tc>
          <w:tcPr>
            <w:tcW w:w="2664" w:type="dxa"/>
            <w:tcBorders>
              <w:top w:val="single" w:color="000000" w:sz="4" w:space="0"/>
              <w:left w:val="nil"/>
              <w:bottom w:val="nil"/>
              <w:right w:val="nil"/>
            </w:tcBorders>
            <w:shd w:val="clear" w:color="auto" w:fill="FFFFFF"/>
          </w:tcPr>
          <w:p w14:paraId="6B7DBFE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测试集整体</w:t>
            </w:r>
          </w:p>
        </w:tc>
        <w:tc>
          <w:tcPr>
            <w:tcW w:w="1590" w:type="dxa"/>
            <w:tcBorders>
              <w:top w:val="single" w:color="000000" w:sz="4" w:space="0"/>
              <w:left w:val="nil"/>
              <w:bottom w:val="nil"/>
              <w:right w:val="nil"/>
            </w:tcBorders>
            <w:shd w:val="clear" w:color="auto" w:fill="FFFFFF"/>
          </w:tcPr>
          <w:p w14:paraId="5238E77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0.8462</w:t>
            </w:r>
          </w:p>
        </w:tc>
        <w:tc>
          <w:tcPr>
            <w:tcW w:w="1590" w:type="dxa"/>
            <w:tcBorders>
              <w:top w:val="single" w:color="000000" w:sz="4" w:space="0"/>
              <w:left w:val="nil"/>
              <w:bottom w:val="nil"/>
              <w:right w:val="nil"/>
            </w:tcBorders>
            <w:shd w:val="clear" w:color="auto" w:fill="FFFFFF"/>
          </w:tcPr>
          <w:p w14:paraId="6C14067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0.5825</w:t>
            </w:r>
          </w:p>
        </w:tc>
      </w:tr>
      <w:tr w14:paraId="34B2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8" w:type="dxa"/>
            <w:tcBorders>
              <w:top w:val="nil"/>
              <w:left w:val="nil"/>
              <w:bottom w:val="single" w:color="000000" w:sz="12" w:space="0"/>
              <w:right w:val="nil"/>
            </w:tcBorders>
            <w:shd w:val="clear" w:color="auto" w:fill="FFFFFF"/>
          </w:tcPr>
          <w:p w14:paraId="1B53F26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w:t>
            </w:r>
          </w:p>
        </w:tc>
        <w:tc>
          <w:tcPr>
            <w:tcW w:w="2664" w:type="dxa"/>
            <w:tcBorders>
              <w:top w:val="nil"/>
              <w:left w:val="nil"/>
              <w:bottom w:val="single" w:color="000000" w:sz="12" w:space="0"/>
              <w:right w:val="nil"/>
            </w:tcBorders>
            <w:shd w:val="clear" w:color="auto" w:fill="FFFFFF"/>
          </w:tcPr>
          <w:p w14:paraId="7E871E8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测试集整体</w:t>
            </w:r>
          </w:p>
        </w:tc>
        <w:tc>
          <w:tcPr>
            <w:tcW w:w="1590" w:type="dxa"/>
            <w:tcBorders>
              <w:top w:val="nil"/>
              <w:left w:val="nil"/>
              <w:bottom w:val="single" w:color="000000" w:sz="12" w:space="0"/>
              <w:right w:val="nil"/>
            </w:tcBorders>
            <w:shd w:val="clear" w:color="auto" w:fill="FFFFFF"/>
          </w:tcPr>
          <w:p w14:paraId="20AA007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0.8559</w:t>
            </w:r>
          </w:p>
        </w:tc>
        <w:tc>
          <w:tcPr>
            <w:tcW w:w="1590" w:type="dxa"/>
            <w:tcBorders>
              <w:top w:val="nil"/>
              <w:left w:val="nil"/>
              <w:bottom w:val="single" w:color="000000" w:sz="12" w:space="0"/>
              <w:right w:val="nil"/>
            </w:tcBorders>
            <w:shd w:val="clear" w:color="auto" w:fill="FFFFFF"/>
          </w:tcPr>
          <w:p w14:paraId="34E0F20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0.6712</w:t>
            </w:r>
          </w:p>
        </w:tc>
      </w:tr>
    </w:tbl>
    <w:p w14:paraId="4DD21642">
      <w:pPr>
        <w:ind w:firstLine="480"/>
      </w:pPr>
      <w:r>
        <w:t>进一步将测试集样本按照综合高风险预测概率从低到高划分为10个等量分位，观察不同预测风险层内的实际结局率。由图1</w:t>
      </w:r>
      <w:r>
        <w:rPr>
          <w:rFonts w:hint="eastAsia"/>
        </w:rPr>
        <w:t>0</w:t>
      </w:r>
      <w:r>
        <w:t>可见，实际综合高风险率随预测分位升高呈明显上升趋势：D1组未观察到阳性事件，D10组实际综合高风险率达到78.2%</w:t>
      </w:r>
      <w:r>
        <w:rPr>
          <w:rFonts w:hint="eastAsia"/>
        </w:rPr>
        <w:t>，</w:t>
      </w:r>
      <w:r>
        <w:t>最低20%风险组仅为0.2%，两者相差</w:t>
      </w:r>
      <w:r>
        <w:rPr>
          <w:rFonts w:hint="eastAsia"/>
        </w:rPr>
        <w:t>较大。</w:t>
      </w:r>
      <w:r>
        <w:t>该结果表明，模型输出不仅能够给出连续概率分数，也能够有效区分低风险和高风险人群</w:t>
      </w:r>
      <w:r>
        <w:rPr>
          <w:rFonts w:hint="eastAsia"/>
        </w:rPr>
        <w:t>。</w:t>
      </w:r>
    </w:p>
    <w:p w14:paraId="0FACCC3A">
      <w:pPr>
        <w:pStyle w:val="7"/>
        <w:spacing w:before="0" w:after="0" w:line="240" w:lineRule="auto"/>
        <w:jc w:val="center"/>
        <w:rPr>
          <w:rFonts w:hint="eastAsia" w:ascii="宋体" w:hAnsi="宋体" w:eastAsia="宋体" w:cs="宋体"/>
          <w:b/>
          <w:bCs/>
          <w:szCs w:val="24"/>
        </w:rPr>
      </w:pPr>
      <w:r>
        <w:drawing>
          <wp:inline distT="0" distB="0" distL="114300" distR="114300">
            <wp:extent cx="4512945" cy="2566035"/>
            <wp:effectExtent l="0" t="0" r="190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9"/>
                    <a:stretch>
                      <a:fillRect/>
                    </a:stretch>
                  </pic:blipFill>
                  <pic:spPr>
                    <a:xfrm>
                      <a:off x="0" y="0"/>
                      <a:ext cx="4512945" cy="2566035"/>
                    </a:xfrm>
                    <a:prstGeom prst="rect">
                      <a:avLst/>
                    </a:prstGeom>
                    <a:noFill/>
                    <a:ln>
                      <a:noFill/>
                    </a:ln>
                  </pic:spPr>
                </pic:pic>
              </a:graphicData>
            </a:graphic>
          </wp:inline>
        </w:drawing>
      </w:r>
    </w:p>
    <w:p w14:paraId="73239646">
      <w:pPr>
        <w:pStyle w:val="5"/>
        <w:ind w:firstLine="480"/>
        <w:rPr>
          <w:rFonts w:cstheme="minorBidi"/>
          <w:szCs w:val="22"/>
          <w14:ligatures w14:val="none"/>
        </w:rPr>
      </w:pPr>
      <w:bookmarkStart w:id="120" w:name="_Toc31747"/>
      <w:r>
        <w:t>图</w:t>
      </w:r>
      <w:r>
        <w:fldChar w:fldCharType="begin"/>
      </w:r>
      <w:r>
        <w:instrText xml:space="preserve"> SEQ 图 \* ARABIC </w:instrText>
      </w:r>
      <w:r>
        <w:fldChar w:fldCharType="separate"/>
      </w:r>
      <w:r>
        <w:t>10</w:t>
      </w:r>
      <w:r>
        <w:fldChar w:fldCharType="end"/>
      </w:r>
      <w:bookmarkStart w:id="121" w:name="_Toc329"/>
      <w:r>
        <w:rPr>
          <w:rFonts w:hint="eastAsia" w:cstheme="minorBidi"/>
          <w:szCs w:val="22"/>
          <w14:ligatures w14:val="none"/>
        </w:rPr>
        <w:t xml:space="preserve"> </w:t>
      </w:r>
      <w:bookmarkEnd w:id="120"/>
      <w:r>
        <w:rPr>
          <w:rFonts w:cstheme="minorBidi"/>
          <w:szCs w:val="22"/>
          <w14:ligatures w14:val="none"/>
        </w:rPr>
        <w:t>预测风险十分位分层的实际综合高风险率</w:t>
      </w:r>
      <w:bookmarkEnd w:id="121"/>
    </w:p>
    <w:p w14:paraId="3748E707">
      <w:pPr>
        <w:pStyle w:val="5"/>
        <w:tabs>
          <w:tab w:val="left" w:pos="1502"/>
        </w:tabs>
        <w:spacing w:line="480" w:lineRule="atLeast"/>
        <w:ind w:firstLine="480"/>
        <w:jc w:val="both"/>
        <w:rPr>
          <w:rFonts w:cstheme="minorBidi"/>
          <w:szCs w:val="22"/>
          <w14:ligatures w14:val="none"/>
        </w:rPr>
      </w:pPr>
      <w:r>
        <w:rPr>
          <w:rFonts w:hint="eastAsia" w:cstheme="minorBidi"/>
          <w:szCs w:val="22"/>
          <w14:ligatures w14:val="none"/>
        </w:rPr>
        <w:t>将测试集样本按预测风险分为4组类型，如图11所示，观察极端风险组可见，模型对高危样本具有较强的聚集能力。最低20%风险组的实际事件率接近于零，而最高20%风险组升至63.8%，最高10%风险组进一步达到78.2%。这一结果说明，模型输出不仅具有连续排序能力，也能够有效识别需要优先关注的高风险人群。</w:t>
      </w:r>
    </w:p>
    <w:p w14:paraId="02D3CB18">
      <w:pPr>
        <w:pStyle w:val="5"/>
        <w:spacing w:line="240" w:lineRule="auto"/>
        <w:ind w:firstLine="480"/>
      </w:pPr>
      <w:r>
        <w:drawing>
          <wp:inline distT="0" distB="0" distL="114300" distR="114300">
            <wp:extent cx="3978275" cy="2561590"/>
            <wp:effectExtent l="0" t="0" r="9525" b="381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30"/>
                    <a:stretch>
                      <a:fillRect/>
                    </a:stretch>
                  </pic:blipFill>
                  <pic:spPr>
                    <a:xfrm>
                      <a:off x="0" y="0"/>
                      <a:ext cx="3978275" cy="2561590"/>
                    </a:xfrm>
                    <a:prstGeom prst="rect">
                      <a:avLst/>
                    </a:prstGeom>
                    <a:noFill/>
                    <a:ln>
                      <a:noFill/>
                    </a:ln>
                  </pic:spPr>
                </pic:pic>
              </a:graphicData>
            </a:graphic>
          </wp:inline>
        </w:drawing>
      </w:r>
    </w:p>
    <w:p w14:paraId="1222F924">
      <w:pPr>
        <w:pStyle w:val="5"/>
        <w:spacing w:line="240" w:lineRule="auto"/>
        <w:ind w:firstLine="480"/>
      </w:pPr>
      <w:r>
        <w:t>图</w:t>
      </w:r>
      <w:r>
        <w:fldChar w:fldCharType="begin"/>
      </w:r>
      <w:r>
        <w:instrText xml:space="preserve"> SEQ 图 \* ARABIC </w:instrText>
      </w:r>
      <w:r>
        <w:fldChar w:fldCharType="separate"/>
      </w:r>
      <w:r>
        <w:t>11</w:t>
      </w:r>
      <w:r>
        <w:fldChar w:fldCharType="end"/>
      </w:r>
      <w:bookmarkStart w:id="122" w:name="_Toc21453"/>
      <w:r>
        <w:rPr>
          <w:rFonts w:hint="eastAsia" w:ascii="宋体" w:hAnsi="宋体" w:cs="宋体"/>
          <w:szCs w:val="24"/>
        </w:rPr>
        <w:t xml:space="preserve"> </w:t>
      </w:r>
      <w:r>
        <w:rPr>
          <w:rFonts w:ascii="宋体" w:hAnsi="宋体" w:cs="宋体"/>
          <w:szCs w:val="24"/>
        </w:rPr>
        <w:t>不同预测风险组的实际结局率</w:t>
      </w:r>
      <w:bookmarkEnd w:id="122"/>
    </w:p>
    <w:p w14:paraId="62BC8E01">
      <w:pPr>
        <w:pStyle w:val="7"/>
        <w:spacing w:before="0" w:after="0"/>
        <w:jc w:val="left"/>
        <w:rPr>
          <w:rFonts w:eastAsia="宋体"/>
        </w:rPr>
      </w:pPr>
      <w:r>
        <w:rPr>
          <w:rFonts w:eastAsia="宋体"/>
        </w:rPr>
        <w:t>在十分位分层基础上，进一步将模型输出转化为四级预警等级。</w:t>
      </w:r>
      <w:r>
        <w:rPr>
          <w:rFonts w:hint="eastAsia" w:eastAsia="宋体"/>
        </w:rPr>
        <w:t>如表20</w:t>
      </w:r>
      <w:r>
        <w:rPr>
          <w:rFonts w:eastAsia="宋体"/>
        </w:rPr>
        <w:t>显示，综合高风险率由常规组的9.0%逐级升至高危组的88.7%，30天死亡率也呈同步升高趋势。与此同时，高等级预警组表现出更高的BUN水平和更短的RR间期，提示模型识别出的高风险层不仅结局发生率更高，也伴随更明显的肾功能负担和心电异常特征。</w:t>
      </w:r>
    </w:p>
    <w:p w14:paraId="76A0A87B">
      <w:pPr>
        <w:pStyle w:val="5"/>
        <w:ind w:firstLine="480"/>
        <w:rPr>
          <w:rFonts w:hint="eastAsia" w:ascii="宋体" w:hAnsi="宋体" w:cs="宋体"/>
          <w:szCs w:val="24"/>
        </w:rPr>
      </w:pPr>
      <w:bookmarkStart w:id="123" w:name="_Toc27228"/>
      <w:r>
        <w:t>表</w:t>
      </w:r>
      <w:r>
        <w:fldChar w:fldCharType="begin"/>
      </w:r>
      <w:r>
        <w:instrText xml:space="preserve"> SEQ 表 \* ARABIC </w:instrText>
      </w:r>
      <w:r>
        <w:fldChar w:fldCharType="separate"/>
      </w:r>
      <w:r>
        <w:t>20</w:t>
      </w:r>
      <w:r>
        <w:fldChar w:fldCharType="end"/>
      </w:r>
      <w:bookmarkStart w:id="124" w:name="_Toc19250"/>
      <w:r>
        <w:rPr>
          <w:rFonts w:hint="eastAsia"/>
        </w:rPr>
        <w:t xml:space="preserve"> </w:t>
      </w:r>
      <w:r>
        <w:rPr>
          <w:rFonts w:hint="eastAsia" w:ascii="宋体" w:hAnsi="宋体" w:cs="宋体"/>
          <w:szCs w:val="24"/>
        </w:rPr>
        <w:t>近期高危风险四级预警分层结果</w:t>
      </w:r>
      <w:bookmarkEnd w:id="123"/>
      <w:bookmarkEnd w:id="124"/>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786"/>
        <w:gridCol w:w="1292"/>
        <w:gridCol w:w="1183"/>
        <w:gridCol w:w="1169"/>
        <w:gridCol w:w="1331"/>
        <w:gridCol w:w="1517"/>
      </w:tblGrid>
      <w:tr w14:paraId="6D31A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7" w:type="pct"/>
            <w:tcBorders>
              <w:top w:val="single" w:color="000000" w:sz="12" w:space="0"/>
              <w:left w:val="nil"/>
              <w:bottom w:val="single" w:color="000000" w:sz="4" w:space="0"/>
              <w:right w:val="nil"/>
              <w:tl2br w:val="nil"/>
            </w:tcBorders>
            <w:shd w:val="clear" w:color="auto" w:fill="FFFFFF"/>
          </w:tcPr>
          <w:p w14:paraId="0C6C7B0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预警</w:t>
            </w:r>
          </w:p>
          <w:p w14:paraId="38B7CD2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层级</w:t>
            </w:r>
          </w:p>
        </w:tc>
        <w:tc>
          <w:tcPr>
            <w:tcW w:w="461" w:type="pct"/>
            <w:tcBorders>
              <w:top w:val="single" w:color="000000" w:sz="12" w:space="0"/>
              <w:left w:val="nil"/>
              <w:bottom w:val="single" w:color="000000" w:sz="4" w:space="0"/>
              <w:right w:val="nil"/>
            </w:tcBorders>
            <w:shd w:val="clear" w:color="auto" w:fill="FFFFFF"/>
          </w:tcPr>
          <w:p w14:paraId="7E46FBD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样本量</w:t>
            </w:r>
          </w:p>
        </w:tc>
        <w:tc>
          <w:tcPr>
            <w:tcW w:w="758" w:type="pct"/>
            <w:tcBorders>
              <w:top w:val="single" w:color="000000" w:sz="12" w:space="0"/>
              <w:left w:val="nil"/>
              <w:bottom w:val="single" w:color="000000" w:sz="4" w:space="0"/>
              <w:right w:val="nil"/>
            </w:tcBorders>
            <w:shd w:val="clear" w:color="auto" w:fill="FFFFFF"/>
          </w:tcPr>
          <w:p w14:paraId="0437F4F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30天死亡率</w:t>
            </w:r>
          </w:p>
        </w:tc>
        <w:tc>
          <w:tcPr>
            <w:tcW w:w="694" w:type="pct"/>
            <w:tcBorders>
              <w:top w:val="single" w:color="000000" w:sz="12" w:space="0"/>
              <w:left w:val="nil"/>
              <w:bottom w:val="single" w:color="000000" w:sz="4" w:space="0"/>
              <w:right w:val="nil"/>
            </w:tcBorders>
            <w:shd w:val="clear" w:color="auto" w:fill="FFFFFF"/>
          </w:tcPr>
          <w:p w14:paraId="71BD98C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综合高风险率</w:t>
            </w:r>
          </w:p>
        </w:tc>
        <w:tc>
          <w:tcPr>
            <w:tcW w:w="686" w:type="pct"/>
            <w:tcBorders>
              <w:top w:val="single" w:color="000000" w:sz="12" w:space="0"/>
              <w:left w:val="nil"/>
              <w:bottom w:val="single" w:color="000000" w:sz="4" w:space="0"/>
              <w:right w:val="nil"/>
            </w:tcBorders>
            <w:shd w:val="clear" w:color="auto" w:fill="FFFFFF"/>
          </w:tcPr>
          <w:p w14:paraId="119BA79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BUN中位数</w:t>
            </w:r>
          </w:p>
        </w:tc>
        <w:tc>
          <w:tcPr>
            <w:tcW w:w="781" w:type="pct"/>
            <w:tcBorders>
              <w:top w:val="single" w:color="000000" w:sz="12" w:space="0"/>
              <w:left w:val="nil"/>
              <w:bottom w:val="single" w:color="000000" w:sz="4" w:space="0"/>
              <w:right w:val="nil"/>
            </w:tcBorders>
            <w:shd w:val="clear" w:color="auto" w:fill="FFFFFF"/>
          </w:tcPr>
          <w:p w14:paraId="1B7A4C9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RR间期中位数</w:t>
            </w:r>
          </w:p>
        </w:tc>
        <w:tc>
          <w:tcPr>
            <w:tcW w:w="890" w:type="pct"/>
            <w:tcBorders>
              <w:top w:val="single" w:color="000000" w:sz="12" w:space="0"/>
              <w:left w:val="nil"/>
              <w:bottom w:val="single" w:color="000000" w:sz="4" w:space="0"/>
              <w:right w:val="nil"/>
            </w:tcBorders>
            <w:shd w:val="clear" w:color="auto" w:fill="FFFFFF"/>
          </w:tcPr>
          <w:p w14:paraId="3DD9F24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年龄中位数</w:t>
            </w:r>
          </w:p>
        </w:tc>
      </w:tr>
      <w:tr w14:paraId="0285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tcBorders>
              <w:top w:val="single" w:color="000000" w:sz="4" w:space="0"/>
              <w:left w:val="nil"/>
              <w:bottom w:val="nil"/>
              <w:right w:val="nil"/>
            </w:tcBorders>
            <w:shd w:val="clear" w:color="auto" w:fill="FFFFFF"/>
          </w:tcPr>
          <w:p w14:paraId="2405262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常规</w:t>
            </w:r>
          </w:p>
        </w:tc>
        <w:tc>
          <w:tcPr>
            <w:tcW w:w="461" w:type="pct"/>
            <w:tcBorders>
              <w:top w:val="single" w:color="000000" w:sz="4" w:space="0"/>
              <w:left w:val="nil"/>
              <w:bottom w:val="nil"/>
              <w:right w:val="nil"/>
            </w:tcBorders>
            <w:shd w:val="clear" w:color="auto" w:fill="FFFFFF"/>
          </w:tcPr>
          <w:p w14:paraId="7495FF6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2890</w:t>
            </w:r>
          </w:p>
        </w:tc>
        <w:tc>
          <w:tcPr>
            <w:tcW w:w="758" w:type="pct"/>
            <w:tcBorders>
              <w:top w:val="single" w:color="000000" w:sz="4" w:space="0"/>
              <w:left w:val="nil"/>
              <w:bottom w:val="nil"/>
              <w:right w:val="nil"/>
            </w:tcBorders>
            <w:shd w:val="clear" w:color="auto" w:fill="FFFFFF"/>
          </w:tcPr>
          <w:p w14:paraId="3973428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8.2%</w:t>
            </w:r>
          </w:p>
        </w:tc>
        <w:tc>
          <w:tcPr>
            <w:tcW w:w="694" w:type="pct"/>
            <w:tcBorders>
              <w:top w:val="single" w:color="000000" w:sz="4" w:space="0"/>
              <w:left w:val="nil"/>
              <w:bottom w:val="nil"/>
              <w:right w:val="nil"/>
            </w:tcBorders>
            <w:shd w:val="clear" w:color="auto" w:fill="FFFFFF"/>
          </w:tcPr>
          <w:p w14:paraId="15CCB6B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9.0%</w:t>
            </w:r>
          </w:p>
        </w:tc>
        <w:tc>
          <w:tcPr>
            <w:tcW w:w="686" w:type="pct"/>
            <w:tcBorders>
              <w:top w:val="single" w:color="000000" w:sz="4" w:space="0"/>
              <w:left w:val="nil"/>
              <w:bottom w:val="nil"/>
              <w:right w:val="nil"/>
            </w:tcBorders>
            <w:shd w:val="clear" w:color="auto" w:fill="FFFFFF"/>
          </w:tcPr>
          <w:p w14:paraId="698AA41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20.0</w:t>
            </w:r>
          </w:p>
        </w:tc>
        <w:tc>
          <w:tcPr>
            <w:tcW w:w="781" w:type="pct"/>
            <w:tcBorders>
              <w:top w:val="single" w:color="000000" w:sz="4" w:space="0"/>
              <w:left w:val="nil"/>
              <w:bottom w:val="nil"/>
              <w:right w:val="nil"/>
            </w:tcBorders>
            <w:shd w:val="clear" w:color="auto" w:fill="FFFFFF"/>
          </w:tcPr>
          <w:p w14:paraId="06C5A16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769</w:t>
            </w:r>
          </w:p>
        </w:tc>
        <w:tc>
          <w:tcPr>
            <w:tcW w:w="890" w:type="pct"/>
            <w:tcBorders>
              <w:top w:val="single" w:color="000000" w:sz="4" w:space="0"/>
              <w:left w:val="nil"/>
              <w:bottom w:val="nil"/>
              <w:right w:val="nil"/>
            </w:tcBorders>
            <w:shd w:val="clear" w:color="auto" w:fill="FFFFFF"/>
          </w:tcPr>
          <w:p w14:paraId="66CDDC3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65</w:t>
            </w:r>
          </w:p>
        </w:tc>
      </w:tr>
      <w:tr w14:paraId="53D89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tcBorders>
              <w:top w:val="nil"/>
              <w:left w:val="nil"/>
              <w:bottom w:val="nil"/>
              <w:right w:val="nil"/>
            </w:tcBorders>
            <w:shd w:val="clear" w:color="auto" w:fill="FFFFFF"/>
          </w:tcPr>
          <w:p w14:paraId="649922A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关注</w:t>
            </w:r>
          </w:p>
        </w:tc>
        <w:tc>
          <w:tcPr>
            <w:tcW w:w="461" w:type="pct"/>
            <w:tcBorders>
              <w:top w:val="nil"/>
              <w:left w:val="nil"/>
              <w:bottom w:val="nil"/>
              <w:right w:val="nil"/>
            </w:tcBorders>
            <w:shd w:val="clear" w:color="auto" w:fill="FFFFFF"/>
          </w:tcPr>
          <w:p w14:paraId="61D3764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826</w:t>
            </w:r>
          </w:p>
        </w:tc>
        <w:tc>
          <w:tcPr>
            <w:tcW w:w="758" w:type="pct"/>
            <w:tcBorders>
              <w:top w:val="nil"/>
              <w:left w:val="nil"/>
              <w:bottom w:val="nil"/>
              <w:right w:val="nil"/>
            </w:tcBorders>
            <w:shd w:val="clear" w:color="auto" w:fill="FFFFFF"/>
          </w:tcPr>
          <w:p w14:paraId="086E4EB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34.7%</w:t>
            </w:r>
          </w:p>
        </w:tc>
        <w:tc>
          <w:tcPr>
            <w:tcW w:w="694" w:type="pct"/>
            <w:tcBorders>
              <w:top w:val="nil"/>
              <w:left w:val="nil"/>
              <w:bottom w:val="nil"/>
              <w:right w:val="nil"/>
            </w:tcBorders>
            <w:shd w:val="clear" w:color="auto" w:fill="FFFFFF"/>
          </w:tcPr>
          <w:p w14:paraId="0ACE03F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38.7%</w:t>
            </w:r>
          </w:p>
        </w:tc>
        <w:tc>
          <w:tcPr>
            <w:tcW w:w="686" w:type="pct"/>
            <w:tcBorders>
              <w:top w:val="nil"/>
              <w:left w:val="nil"/>
              <w:bottom w:val="nil"/>
              <w:right w:val="nil"/>
            </w:tcBorders>
            <w:shd w:val="clear" w:color="auto" w:fill="FFFFFF"/>
          </w:tcPr>
          <w:p w14:paraId="1C7BEE6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33.0</w:t>
            </w:r>
          </w:p>
        </w:tc>
        <w:tc>
          <w:tcPr>
            <w:tcW w:w="781" w:type="pct"/>
            <w:tcBorders>
              <w:top w:val="nil"/>
              <w:left w:val="nil"/>
              <w:bottom w:val="nil"/>
              <w:right w:val="nil"/>
            </w:tcBorders>
            <w:shd w:val="clear" w:color="auto" w:fill="FFFFFF"/>
          </w:tcPr>
          <w:p w14:paraId="5974E78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714</w:t>
            </w:r>
          </w:p>
        </w:tc>
        <w:tc>
          <w:tcPr>
            <w:tcW w:w="890" w:type="pct"/>
            <w:tcBorders>
              <w:top w:val="nil"/>
              <w:left w:val="nil"/>
              <w:bottom w:val="nil"/>
              <w:right w:val="nil"/>
            </w:tcBorders>
            <w:shd w:val="clear" w:color="auto" w:fill="FFFFFF"/>
          </w:tcPr>
          <w:p w14:paraId="74E36CF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73</w:t>
            </w:r>
          </w:p>
        </w:tc>
      </w:tr>
      <w:tr w14:paraId="4B53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7" w:type="pct"/>
            <w:tcBorders>
              <w:top w:val="nil"/>
              <w:left w:val="nil"/>
              <w:bottom w:val="nil"/>
              <w:right w:val="nil"/>
            </w:tcBorders>
            <w:shd w:val="clear" w:color="auto" w:fill="FFFFFF"/>
          </w:tcPr>
          <w:p w14:paraId="3711904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警示</w:t>
            </w:r>
          </w:p>
        </w:tc>
        <w:tc>
          <w:tcPr>
            <w:tcW w:w="461" w:type="pct"/>
            <w:tcBorders>
              <w:top w:val="nil"/>
              <w:left w:val="nil"/>
              <w:bottom w:val="nil"/>
              <w:right w:val="nil"/>
            </w:tcBorders>
            <w:shd w:val="clear" w:color="auto" w:fill="FFFFFF"/>
          </w:tcPr>
          <w:p w14:paraId="37D8B1F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289</w:t>
            </w:r>
          </w:p>
        </w:tc>
        <w:tc>
          <w:tcPr>
            <w:tcW w:w="758" w:type="pct"/>
            <w:tcBorders>
              <w:top w:val="nil"/>
              <w:left w:val="nil"/>
              <w:bottom w:val="nil"/>
              <w:right w:val="nil"/>
            </w:tcBorders>
            <w:shd w:val="clear" w:color="auto" w:fill="FFFFFF"/>
          </w:tcPr>
          <w:p w14:paraId="0F30E13F">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63.0%</w:t>
            </w:r>
          </w:p>
        </w:tc>
        <w:tc>
          <w:tcPr>
            <w:tcW w:w="694" w:type="pct"/>
            <w:tcBorders>
              <w:top w:val="nil"/>
              <w:left w:val="nil"/>
              <w:bottom w:val="nil"/>
              <w:right w:val="nil"/>
            </w:tcBorders>
            <w:shd w:val="clear" w:color="auto" w:fill="FFFFFF"/>
          </w:tcPr>
          <w:p w14:paraId="613DF96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73.7%</w:t>
            </w:r>
          </w:p>
        </w:tc>
        <w:tc>
          <w:tcPr>
            <w:tcW w:w="686" w:type="pct"/>
            <w:tcBorders>
              <w:top w:val="nil"/>
              <w:left w:val="nil"/>
              <w:bottom w:val="nil"/>
              <w:right w:val="nil"/>
            </w:tcBorders>
            <w:shd w:val="clear" w:color="auto" w:fill="FFFFFF"/>
          </w:tcPr>
          <w:p w14:paraId="219634F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40.1</w:t>
            </w:r>
          </w:p>
        </w:tc>
        <w:tc>
          <w:tcPr>
            <w:tcW w:w="781" w:type="pct"/>
            <w:tcBorders>
              <w:top w:val="nil"/>
              <w:left w:val="nil"/>
              <w:bottom w:val="nil"/>
              <w:right w:val="nil"/>
            </w:tcBorders>
            <w:shd w:val="clear" w:color="auto" w:fill="FFFFFF"/>
          </w:tcPr>
          <w:p w14:paraId="1A79EEC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659</w:t>
            </w:r>
          </w:p>
        </w:tc>
        <w:tc>
          <w:tcPr>
            <w:tcW w:w="890" w:type="pct"/>
            <w:tcBorders>
              <w:top w:val="nil"/>
              <w:left w:val="nil"/>
              <w:bottom w:val="nil"/>
              <w:right w:val="nil"/>
            </w:tcBorders>
            <w:shd w:val="clear" w:color="auto" w:fill="FFFFFF"/>
          </w:tcPr>
          <w:p w14:paraId="52CADB8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78</w:t>
            </w:r>
          </w:p>
        </w:tc>
      </w:tr>
      <w:tr w14:paraId="52D21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tcBorders>
              <w:top w:val="nil"/>
              <w:left w:val="nil"/>
              <w:bottom w:val="single" w:color="000000" w:sz="12" w:space="0"/>
              <w:right w:val="nil"/>
            </w:tcBorders>
            <w:shd w:val="clear" w:color="auto" w:fill="FFFFFF"/>
          </w:tcPr>
          <w:p w14:paraId="6795C91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高危</w:t>
            </w:r>
          </w:p>
        </w:tc>
        <w:tc>
          <w:tcPr>
            <w:tcW w:w="461" w:type="pct"/>
            <w:tcBorders>
              <w:top w:val="nil"/>
              <w:left w:val="nil"/>
              <w:bottom w:val="single" w:color="000000" w:sz="12" w:space="0"/>
              <w:right w:val="nil"/>
            </w:tcBorders>
            <w:shd w:val="clear" w:color="auto" w:fill="FFFFFF"/>
          </w:tcPr>
          <w:p w14:paraId="784F8BE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124</w:t>
            </w:r>
          </w:p>
        </w:tc>
        <w:tc>
          <w:tcPr>
            <w:tcW w:w="758" w:type="pct"/>
            <w:tcBorders>
              <w:top w:val="nil"/>
              <w:left w:val="nil"/>
              <w:bottom w:val="single" w:color="000000" w:sz="12" w:space="0"/>
              <w:right w:val="nil"/>
            </w:tcBorders>
            <w:shd w:val="clear" w:color="auto" w:fill="FFFFFF"/>
          </w:tcPr>
          <w:p w14:paraId="1EB7315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72.6%</w:t>
            </w:r>
          </w:p>
        </w:tc>
        <w:tc>
          <w:tcPr>
            <w:tcW w:w="694" w:type="pct"/>
            <w:tcBorders>
              <w:top w:val="nil"/>
              <w:left w:val="nil"/>
              <w:bottom w:val="single" w:color="000000" w:sz="12" w:space="0"/>
              <w:right w:val="nil"/>
            </w:tcBorders>
            <w:shd w:val="clear" w:color="auto" w:fill="FFFFFF"/>
          </w:tcPr>
          <w:p w14:paraId="74ED1D1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88.7%</w:t>
            </w:r>
          </w:p>
        </w:tc>
        <w:tc>
          <w:tcPr>
            <w:tcW w:w="686" w:type="pct"/>
            <w:tcBorders>
              <w:top w:val="nil"/>
              <w:left w:val="nil"/>
              <w:bottom w:val="single" w:color="000000" w:sz="12" w:space="0"/>
              <w:right w:val="nil"/>
            </w:tcBorders>
            <w:shd w:val="clear" w:color="auto" w:fill="FFFFFF"/>
          </w:tcPr>
          <w:p w14:paraId="4781DB90">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49.5</w:t>
            </w:r>
          </w:p>
        </w:tc>
        <w:tc>
          <w:tcPr>
            <w:tcW w:w="781" w:type="pct"/>
            <w:tcBorders>
              <w:top w:val="nil"/>
              <w:left w:val="nil"/>
              <w:bottom w:val="single" w:color="000000" w:sz="12" w:space="0"/>
              <w:right w:val="nil"/>
            </w:tcBorders>
            <w:shd w:val="clear" w:color="auto" w:fill="FFFFFF"/>
          </w:tcPr>
          <w:p w14:paraId="5BD105D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600</w:t>
            </w:r>
          </w:p>
        </w:tc>
        <w:tc>
          <w:tcPr>
            <w:tcW w:w="890" w:type="pct"/>
            <w:tcBorders>
              <w:top w:val="nil"/>
              <w:left w:val="nil"/>
              <w:bottom w:val="single" w:color="000000" w:sz="12" w:space="0"/>
              <w:right w:val="nil"/>
            </w:tcBorders>
            <w:shd w:val="clear" w:color="auto" w:fill="FFFFFF"/>
          </w:tcPr>
          <w:p w14:paraId="7CDA03D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69</w:t>
            </w:r>
          </w:p>
        </w:tc>
      </w:tr>
    </w:tbl>
    <w:p w14:paraId="60C1FCF5">
      <w:pPr>
        <w:ind w:firstLine="480"/>
      </w:pPr>
      <w:r>
        <w:t>在阈值层面，模型可根据不同应用场景选择工作点。</w:t>
      </w:r>
      <w:r>
        <w:rPr>
          <w:rFonts w:hint="eastAsia"/>
        </w:rPr>
        <w:t>如表21所示，</w:t>
      </w:r>
      <w:r>
        <w:t>若强调早期预警，可采用Recall≥80%的阈值设置，以提高高风险患者检出率；若强调减少无效预警，可采用Specificity≥80%的阈值设置，以提高低风险患者排除能力。不同工作点下，NPV均保持在较高水平，说明模型在识别低风险患者方面具有一定稳定性</w:t>
      </w:r>
      <w:r>
        <w:rPr>
          <w:rFonts w:hint="eastAsia"/>
        </w:rPr>
        <w:t>。</w:t>
      </w:r>
    </w:p>
    <w:p w14:paraId="0D122337">
      <w:pPr>
        <w:pStyle w:val="5"/>
        <w:ind w:firstLine="0" w:firstLineChars="0"/>
      </w:pPr>
      <w:r>
        <w:t>表</w:t>
      </w:r>
      <w:r>
        <w:fldChar w:fldCharType="begin"/>
      </w:r>
      <w:r>
        <w:instrText xml:space="preserve"> SEQ 表 \* ARABIC </w:instrText>
      </w:r>
      <w:r>
        <w:fldChar w:fldCharType="separate"/>
      </w:r>
      <w:r>
        <w:t>21</w:t>
      </w:r>
      <w:r>
        <w:fldChar w:fldCharType="end"/>
      </w:r>
      <w:bookmarkStart w:id="125" w:name="_Toc24342"/>
      <w:r>
        <w:t xml:space="preserve"> 综合高风险模型不同工作点下的分类性能</w:t>
      </w:r>
      <w:bookmarkEnd w:id="125"/>
    </w:p>
    <w:tbl>
      <w:tblPr>
        <w:tblStyle w:val="1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776"/>
        <w:gridCol w:w="777"/>
        <w:gridCol w:w="777"/>
        <w:gridCol w:w="776"/>
        <w:gridCol w:w="1168"/>
        <w:gridCol w:w="776"/>
        <w:gridCol w:w="2047"/>
      </w:tblGrid>
      <w:tr w14:paraId="76BEB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Borders>
              <w:top w:val="single" w:color="000000" w:sz="12" w:space="0"/>
              <w:left w:val="nil"/>
              <w:bottom w:val="single" w:color="000000" w:sz="4" w:space="0"/>
              <w:right w:val="nil"/>
              <w:tl2br w:val="nil"/>
            </w:tcBorders>
            <w:shd w:val="clear" w:color="auto" w:fill="FFFFFF"/>
            <w:vAlign w:val="center"/>
          </w:tcPr>
          <w:p w14:paraId="0BDDB12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工作点</w:t>
            </w:r>
          </w:p>
        </w:tc>
        <w:tc>
          <w:tcPr>
            <w:tcW w:w="455" w:type="pct"/>
            <w:tcBorders>
              <w:top w:val="single" w:color="000000" w:sz="12" w:space="0"/>
              <w:left w:val="nil"/>
              <w:bottom w:val="single" w:color="000000" w:sz="4" w:space="0"/>
              <w:right w:val="nil"/>
            </w:tcBorders>
            <w:shd w:val="clear" w:color="auto" w:fill="FFFFFF"/>
            <w:vAlign w:val="center"/>
          </w:tcPr>
          <w:p w14:paraId="52E1D32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阈值</w:t>
            </w:r>
          </w:p>
        </w:tc>
        <w:tc>
          <w:tcPr>
            <w:tcW w:w="456" w:type="pct"/>
            <w:tcBorders>
              <w:top w:val="single" w:color="000000" w:sz="12" w:space="0"/>
              <w:left w:val="nil"/>
              <w:bottom w:val="single" w:color="000000" w:sz="4" w:space="0"/>
              <w:right w:val="nil"/>
            </w:tcBorders>
            <w:shd w:val="clear" w:color="auto" w:fill="FFFFFF"/>
            <w:vAlign w:val="center"/>
          </w:tcPr>
          <w:p w14:paraId="3C6F2D0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灵敏度</w:t>
            </w:r>
          </w:p>
        </w:tc>
        <w:tc>
          <w:tcPr>
            <w:tcW w:w="456" w:type="pct"/>
            <w:tcBorders>
              <w:top w:val="single" w:color="000000" w:sz="12" w:space="0"/>
              <w:left w:val="nil"/>
              <w:bottom w:val="single" w:color="000000" w:sz="4" w:space="0"/>
              <w:right w:val="nil"/>
            </w:tcBorders>
            <w:shd w:val="clear" w:color="auto" w:fill="FFFFFF"/>
            <w:vAlign w:val="center"/>
          </w:tcPr>
          <w:p w14:paraId="10204569">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特异度</w:t>
            </w:r>
          </w:p>
        </w:tc>
        <w:tc>
          <w:tcPr>
            <w:tcW w:w="455" w:type="pct"/>
            <w:tcBorders>
              <w:top w:val="single" w:color="000000" w:sz="12" w:space="0"/>
              <w:left w:val="nil"/>
              <w:bottom w:val="single" w:color="000000" w:sz="4" w:space="0"/>
              <w:right w:val="nil"/>
            </w:tcBorders>
            <w:shd w:val="clear" w:color="auto" w:fill="FFFFFF"/>
            <w:vAlign w:val="center"/>
          </w:tcPr>
          <w:p w14:paraId="24232678">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NPV</w:t>
            </w:r>
          </w:p>
        </w:tc>
        <w:tc>
          <w:tcPr>
            <w:tcW w:w="685" w:type="pct"/>
            <w:tcBorders>
              <w:top w:val="single" w:color="000000" w:sz="12" w:space="0"/>
              <w:left w:val="nil"/>
              <w:bottom w:val="single" w:color="000000" w:sz="4" w:space="0"/>
              <w:right w:val="nil"/>
            </w:tcBorders>
            <w:shd w:val="clear" w:color="auto" w:fill="FFFFFF"/>
            <w:vAlign w:val="center"/>
          </w:tcPr>
          <w:p w14:paraId="73879D9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Accuracy</w:t>
            </w:r>
          </w:p>
        </w:tc>
        <w:tc>
          <w:tcPr>
            <w:tcW w:w="455" w:type="pct"/>
            <w:tcBorders>
              <w:top w:val="single" w:color="000000" w:sz="12" w:space="0"/>
              <w:left w:val="nil"/>
              <w:bottom w:val="single" w:color="000000" w:sz="4" w:space="0"/>
              <w:right w:val="nil"/>
            </w:tcBorders>
            <w:shd w:val="clear" w:color="auto" w:fill="FFFFFF"/>
            <w:vAlign w:val="center"/>
          </w:tcPr>
          <w:p w14:paraId="34B5751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F1</w:t>
            </w:r>
          </w:p>
        </w:tc>
        <w:tc>
          <w:tcPr>
            <w:tcW w:w="1201" w:type="pct"/>
            <w:tcBorders>
              <w:top w:val="single" w:color="000000" w:sz="12" w:space="0"/>
              <w:left w:val="nil"/>
              <w:bottom w:val="single" w:color="000000" w:sz="4" w:space="0"/>
              <w:right w:val="nil"/>
            </w:tcBorders>
            <w:shd w:val="clear" w:color="auto" w:fill="FFFFFF"/>
            <w:vAlign w:val="center"/>
          </w:tcPr>
          <w:p w14:paraId="30598E8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适用场景</w:t>
            </w:r>
          </w:p>
        </w:tc>
      </w:tr>
      <w:tr w14:paraId="776F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Borders>
              <w:top w:val="single" w:color="000000" w:sz="4" w:space="0"/>
              <w:left w:val="nil"/>
              <w:bottom w:val="nil"/>
              <w:right w:val="nil"/>
            </w:tcBorders>
            <w:shd w:val="clear" w:color="auto" w:fill="FFFFFF"/>
            <w:vAlign w:val="center"/>
          </w:tcPr>
          <w:p w14:paraId="0D30C68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MaxF1</w:t>
            </w:r>
          </w:p>
        </w:tc>
        <w:tc>
          <w:tcPr>
            <w:tcW w:w="455" w:type="pct"/>
            <w:tcBorders>
              <w:top w:val="single" w:color="000000" w:sz="4" w:space="0"/>
              <w:left w:val="nil"/>
              <w:bottom w:val="nil"/>
              <w:right w:val="nil"/>
            </w:tcBorders>
            <w:shd w:val="clear" w:color="auto" w:fill="FFFFFF"/>
            <w:vAlign w:val="center"/>
          </w:tcPr>
          <w:p w14:paraId="233D642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0.309</w:t>
            </w:r>
          </w:p>
        </w:tc>
        <w:tc>
          <w:tcPr>
            <w:tcW w:w="456" w:type="pct"/>
            <w:tcBorders>
              <w:top w:val="single" w:color="000000" w:sz="4" w:space="0"/>
              <w:left w:val="nil"/>
              <w:bottom w:val="nil"/>
              <w:right w:val="nil"/>
            </w:tcBorders>
            <w:shd w:val="clear" w:color="auto" w:fill="FFFFFF"/>
            <w:vAlign w:val="center"/>
          </w:tcPr>
          <w:p w14:paraId="053781E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0.669</w:t>
            </w:r>
          </w:p>
        </w:tc>
        <w:tc>
          <w:tcPr>
            <w:tcW w:w="456" w:type="pct"/>
            <w:tcBorders>
              <w:top w:val="single" w:color="000000" w:sz="4" w:space="0"/>
              <w:left w:val="nil"/>
              <w:bottom w:val="nil"/>
              <w:right w:val="nil"/>
            </w:tcBorders>
            <w:shd w:val="clear" w:color="auto" w:fill="FFFFFF"/>
            <w:vAlign w:val="center"/>
          </w:tcPr>
          <w:p w14:paraId="3D7F906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0.866</w:t>
            </w:r>
          </w:p>
        </w:tc>
        <w:tc>
          <w:tcPr>
            <w:tcW w:w="455" w:type="pct"/>
            <w:tcBorders>
              <w:top w:val="single" w:color="000000" w:sz="4" w:space="0"/>
              <w:left w:val="nil"/>
              <w:bottom w:val="nil"/>
              <w:right w:val="nil"/>
            </w:tcBorders>
            <w:shd w:val="clear" w:color="auto" w:fill="FFFFFF"/>
            <w:vAlign w:val="center"/>
          </w:tcPr>
          <w:p w14:paraId="0A10942A">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0.903</w:t>
            </w:r>
          </w:p>
        </w:tc>
        <w:tc>
          <w:tcPr>
            <w:tcW w:w="685" w:type="pct"/>
            <w:tcBorders>
              <w:top w:val="single" w:color="000000" w:sz="4" w:space="0"/>
              <w:left w:val="nil"/>
              <w:bottom w:val="nil"/>
              <w:right w:val="nil"/>
            </w:tcBorders>
            <w:shd w:val="clear" w:color="auto" w:fill="FFFFFF"/>
            <w:vAlign w:val="center"/>
          </w:tcPr>
          <w:p w14:paraId="3910D4C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0.823</w:t>
            </w:r>
          </w:p>
        </w:tc>
        <w:tc>
          <w:tcPr>
            <w:tcW w:w="455" w:type="pct"/>
            <w:tcBorders>
              <w:top w:val="single" w:color="000000" w:sz="4" w:space="0"/>
              <w:left w:val="nil"/>
              <w:bottom w:val="nil"/>
              <w:right w:val="nil"/>
            </w:tcBorders>
            <w:shd w:val="clear" w:color="auto" w:fill="FFFFFF"/>
            <w:vAlign w:val="center"/>
          </w:tcPr>
          <w:p w14:paraId="55C038C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0.623</w:t>
            </w:r>
          </w:p>
        </w:tc>
        <w:tc>
          <w:tcPr>
            <w:tcW w:w="1201" w:type="pct"/>
            <w:tcBorders>
              <w:top w:val="single" w:color="000000" w:sz="4" w:space="0"/>
              <w:left w:val="nil"/>
              <w:bottom w:val="nil"/>
              <w:right w:val="nil"/>
            </w:tcBorders>
            <w:shd w:val="clear" w:color="auto" w:fill="FFFFFF"/>
            <w:vAlign w:val="center"/>
          </w:tcPr>
          <w:p w14:paraId="4A4FEE22">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分类性能平衡</w:t>
            </w:r>
          </w:p>
        </w:tc>
      </w:tr>
      <w:tr w14:paraId="788A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Borders>
              <w:top w:val="nil"/>
              <w:left w:val="nil"/>
              <w:bottom w:val="nil"/>
              <w:right w:val="nil"/>
            </w:tcBorders>
            <w:shd w:val="clear" w:color="auto" w:fill="FFFFFF"/>
            <w:vAlign w:val="center"/>
          </w:tcPr>
          <w:p w14:paraId="0847AE1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Recall≥80%</w:t>
            </w:r>
          </w:p>
        </w:tc>
        <w:tc>
          <w:tcPr>
            <w:tcW w:w="455" w:type="pct"/>
            <w:tcBorders>
              <w:top w:val="nil"/>
              <w:left w:val="nil"/>
              <w:bottom w:val="nil"/>
              <w:right w:val="nil"/>
            </w:tcBorders>
            <w:shd w:val="clear" w:color="auto" w:fill="FFFFFF"/>
            <w:vAlign w:val="center"/>
          </w:tcPr>
          <w:p w14:paraId="40EF4981">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0.111</w:t>
            </w:r>
          </w:p>
        </w:tc>
        <w:tc>
          <w:tcPr>
            <w:tcW w:w="456" w:type="pct"/>
            <w:tcBorders>
              <w:top w:val="nil"/>
              <w:left w:val="nil"/>
              <w:bottom w:val="nil"/>
              <w:right w:val="nil"/>
            </w:tcBorders>
            <w:shd w:val="clear" w:color="auto" w:fill="FFFFFF"/>
            <w:vAlign w:val="center"/>
          </w:tcPr>
          <w:p w14:paraId="36E3B1D4">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0.800</w:t>
            </w:r>
          </w:p>
        </w:tc>
        <w:tc>
          <w:tcPr>
            <w:tcW w:w="456" w:type="pct"/>
            <w:tcBorders>
              <w:top w:val="nil"/>
              <w:left w:val="nil"/>
              <w:bottom w:val="nil"/>
              <w:right w:val="nil"/>
            </w:tcBorders>
            <w:shd w:val="clear" w:color="auto" w:fill="FFFFFF"/>
            <w:vAlign w:val="center"/>
          </w:tcPr>
          <w:p w14:paraId="5829F54B">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0.726</w:t>
            </w:r>
          </w:p>
        </w:tc>
        <w:tc>
          <w:tcPr>
            <w:tcW w:w="455" w:type="pct"/>
            <w:tcBorders>
              <w:top w:val="nil"/>
              <w:left w:val="nil"/>
              <w:bottom w:val="nil"/>
              <w:right w:val="nil"/>
            </w:tcBorders>
            <w:shd w:val="clear" w:color="auto" w:fill="FFFFFF"/>
            <w:vAlign w:val="center"/>
          </w:tcPr>
          <w:p w14:paraId="07EC890D">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0.929</w:t>
            </w:r>
          </w:p>
        </w:tc>
        <w:tc>
          <w:tcPr>
            <w:tcW w:w="685" w:type="pct"/>
            <w:tcBorders>
              <w:top w:val="nil"/>
              <w:left w:val="nil"/>
              <w:bottom w:val="nil"/>
              <w:right w:val="nil"/>
            </w:tcBorders>
            <w:shd w:val="clear" w:color="auto" w:fill="FFFFFF"/>
            <w:vAlign w:val="center"/>
          </w:tcPr>
          <w:p w14:paraId="1852686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0.743</w:t>
            </w:r>
          </w:p>
        </w:tc>
        <w:tc>
          <w:tcPr>
            <w:tcW w:w="455" w:type="pct"/>
            <w:tcBorders>
              <w:top w:val="nil"/>
              <w:left w:val="nil"/>
              <w:bottom w:val="nil"/>
              <w:right w:val="nil"/>
            </w:tcBorders>
            <w:shd w:val="clear" w:color="auto" w:fill="FFFFFF"/>
            <w:vAlign w:val="center"/>
          </w:tcPr>
          <w:p w14:paraId="2C7CF9FC">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0.576</w:t>
            </w:r>
          </w:p>
        </w:tc>
        <w:tc>
          <w:tcPr>
            <w:tcW w:w="1201" w:type="pct"/>
            <w:tcBorders>
              <w:top w:val="nil"/>
              <w:left w:val="nil"/>
              <w:bottom w:val="nil"/>
              <w:right w:val="nil"/>
            </w:tcBorders>
            <w:shd w:val="clear" w:color="auto" w:fill="FFFFFF"/>
            <w:vAlign w:val="center"/>
          </w:tcPr>
          <w:p w14:paraId="518F10F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早期预警</w:t>
            </w:r>
          </w:p>
        </w:tc>
      </w:tr>
      <w:tr w14:paraId="488D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2" w:type="pct"/>
            <w:tcBorders>
              <w:top w:val="nil"/>
              <w:left w:val="nil"/>
              <w:bottom w:val="single" w:color="000000" w:sz="12" w:space="0"/>
              <w:right w:val="nil"/>
            </w:tcBorders>
            <w:shd w:val="clear" w:color="auto" w:fill="FFFFFF"/>
            <w:vAlign w:val="center"/>
          </w:tcPr>
          <w:p w14:paraId="776037A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Specificity≥80%</w:t>
            </w:r>
          </w:p>
        </w:tc>
        <w:tc>
          <w:tcPr>
            <w:tcW w:w="455" w:type="pct"/>
            <w:tcBorders>
              <w:top w:val="nil"/>
              <w:left w:val="nil"/>
              <w:bottom w:val="single" w:color="000000" w:sz="12" w:space="0"/>
              <w:right w:val="nil"/>
            </w:tcBorders>
            <w:shd w:val="clear" w:color="auto" w:fill="FFFFFF"/>
            <w:vAlign w:val="center"/>
          </w:tcPr>
          <w:p w14:paraId="4144FBD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0.197</w:t>
            </w:r>
          </w:p>
        </w:tc>
        <w:tc>
          <w:tcPr>
            <w:tcW w:w="456" w:type="pct"/>
            <w:tcBorders>
              <w:top w:val="nil"/>
              <w:left w:val="nil"/>
              <w:bottom w:val="single" w:color="000000" w:sz="12" w:space="0"/>
              <w:right w:val="nil"/>
            </w:tcBorders>
            <w:shd w:val="clear" w:color="auto" w:fill="FFFFFF"/>
            <w:vAlign w:val="center"/>
          </w:tcPr>
          <w:p w14:paraId="0E7DEA55">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0.728</w:t>
            </w:r>
          </w:p>
        </w:tc>
        <w:tc>
          <w:tcPr>
            <w:tcW w:w="456" w:type="pct"/>
            <w:tcBorders>
              <w:top w:val="nil"/>
              <w:left w:val="nil"/>
              <w:bottom w:val="single" w:color="000000" w:sz="12" w:space="0"/>
              <w:right w:val="nil"/>
            </w:tcBorders>
            <w:shd w:val="clear" w:color="auto" w:fill="FFFFFF"/>
            <w:vAlign w:val="center"/>
          </w:tcPr>
          <w:p w14:paraId="0F936B17">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0.800</w:t>
            </w:r>
          </w:p>
        </w:tc>
        <w:tc>
          <w:tcPr>
            <w:tcW w:w="455" w:type="pct"/>
            <w:tcBorders>
              <w:top w:val="nil"/>
              <w:left w:val="nil"/>
              <w:bottom w:val="single" w:color="000000" w:sz="12" w:space="0"/>
              <w:right w:val="nil"/>
            </w:tcBorders>
            <w:shd w:val="clear" w:color="auto" w:fill="FFFFFF"/>
            <w:vAlign w:val="center"/>
          </w:tcPr>
          <w:p w14:paraId="3C3D65EE">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0.913</w:t>
            </w:r>
          </w:p>
        </w:tc>
        <w:tc>
          <w:tcPr>
            <w:tcW w:w="685" w:type="pct"/>
            <w:tcBorders>
              <w:top w:val="nil"/>
              <w:left w:val="nil"/>
              <w:bottom w:val="single" w:color="000000" w:sz="12" w:space="0"/>
              <w:right w:val="nil"/>
            </w:tcBorders>
            <w:shd w:val="clear" w:color="auto" w:fill="FFFFFF"/>
            <w:vAlign w:val="center"/>
          </w:tcPr>
          <w:p w14:paraId="1A7C2BB6">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0.784</w:t>
            </w:r>
          </w:p>
        </w:tc>
        <w:tc>
          <w:tcPr>
            <w:tcW w:w="455" w:type="pct"/>
            <w:tcBorders>
              <w:top w:val="nil"/>
              <w:left w:val="nil"/>
              <w:bottom w:val="single" w:color="000000" w:sz="12" w:space="0"/>
              <w:right w:val="nil"/>
            </w:tcBorders>
            <w:shd w:val="clear" w:color="auto" w:fill="FFFFFF"/>
            <w:vAlign w:val="center"/>
          </w:tcPr>
          <w:p w14:paraId="28A5AD3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0.596</w:t>
            </w:r>
          </w:p>
        </w:tc>
        <w:tc>
          <w:tcPr>
            <w:tcW w:w="1201" w:type="pct"/>
            <w:tcBorders>
              <w:top w:val="nil"/>
              <w:left w:val="nil"/>
              <w:bottom w:val="single" w:color="000000" w:sz="12" w:space="0"/>
              <w:right w:val="nil"/>
            </w:tcBorders>
            <w:shd w:val="clear" w:color="auto" w:fill="FFFFFF"/>
            <w:vAlign w:val="center"/>
          </w:tcPr>
          <w:p w14:paraId="76F24D53">
            <w:pPr>
              <w:widowControl/>
              <w:spacing w:line="240" w:lineRule="auto"/>
              <w:ind w:firstLine="0" w:firstLineChars="0"/>
              <w:jc w:val="center"/>
              <w:rPr>
                <w:rFonts w:cs="Times New Roman"/>
                <w:color w:val="000000"/>
                <w:spacing w:val="4"/>
                <w:kern w:val="0"/>
              </w:rPr>
            </w:pPr>
            <w:r>
              <w:rPr>
                <w:rFonts w:hint="eastAsia" w:cs="Times New Roman"/>
                <w:color w:val="000000"/>
                <w:spacing w:val="4"/>
                <w:kern w:val="0"/>
              </w:rPr>
              <w:t>控制误报</w:t>
            </w:r>
          </w:p>
        </w:tc>
      </w:tr>
    </w:tbl>
    <w:p w14:paraId="70E21E54">
      <w:pPr>
        <w:ind w:firstLine="480"/>
      </w:pPr>
      <w:r>
        <w:rPr>
          <w:rFonts w:hint="eastAsia"/>
        </w:rPr>
        <w:t>综上所述，</w:t>
      </w:r>
      <w:r>
        <w:t>Bootstrap结果说明模型性能具有较好的重采样稳定性；风险十分位分层和极端风险组对比进一步证明，模型预测概率与实际事件率之间存在明确梯度关系；四级预警分层则将连续风险分数转化为可解释的风险等级。上述结果共同表明，多源融合模型不仅具备统计意义上的区分能力，也具有面向临床预警场景的分层应用价值</w:t>
      </w:r>
      <w:r>
        <w:rPr>
          <w:rFonts w:hint="eastAsia"/>
        </w:rPr>
        <w:t>。</w:t>
      </w:r>
    </w:p>
    <w:p w14:paraId="2DB26544">
      <w:pPr>
        <w:pStyle w:val="3"/>
        <w:ind w:firstLine="560"/>
      </w:pPr>
      <w:bookmarkStart w:id="126" w:name="_Toc15286"/>
      <w:bookmarkStart w:id="127" w:name="_Toc9388"/>
      <w:r>
        <w:rPr>
          <w:rFonts w:hint="eastAsia"/>
        </w:rPr>
        <w:t>（四）模型解释与校准分析</w:t>
      </w:r>
      <w:bookmarkEnd w:id="126"/>
      <w:bookmarkEnd w:id="127"/>
    </w:p>
    <w:p w14:paraId="2FE3B925">
      <w:pPr>
        <w:pStyle w:val="15"/>
        <w:widowControl/>
        <w:spacing w:beforeAutospacing="0" w:afterAutospacing="0"/>
        <w:ind w:firstLine="480"/>
        <w:rPr>
          <w:rFonts w:cstheme="minorBidi"/>
          <w:kern w:val="2"/>
        </w:rPr>
      </w:pPr>
      <w:r>
        <w:rPr>
          <w:rFonts w:cstheme="minorBidi"/>
          <w:kern w:val="2"/>
        </w:rPr>
        <w:t>模型解释部分采用SHAP方法分析变量对综合高风险预测结果的贡献。与传统特征重要性只给出排序不同，SHAP能够同时反映变量贡献强度、影响方向及其在不同风险分层中的变化。由图1</w:t>
      </w:r>
      <w:r>
        <w:rPr>
          <w:rFonts w:hint="eastAsia" w:cstheme="minorBidi"/>
          <w:kern w:val="2"/>
        </w:rPr>
        <w:t>2</w:t>
      </w:r>
      <w:r>
        <w:rPr>
          <w:rFonts w:cstheme="minorBidi"/>
          <w:kern w:val="2"/>
        </w:rPr>
        <w:t>可见，模型贡献主要集中在心电/时序特征、化验特征、临床过程特征和其他结构化特征之间，说明综合高风险预测并非由单一变量主导，而是由多源信息共同驱动</w:t>
      </w:r>
      <w:r>
        <w:rPr>
          <w:rFonts w:hint="eastAsia" w:cstheme="minorBidi"/>
          <w:kern w:val="2"/>
        </w:rPr>
        <w:t>。</w:t>
      </w:r>
    </w:p>
    <w:p w14:paraId="4E42994E">
      <w:pPr>
        <w:pStyle w:val="15"/>
        <w:widowControl/>
        <w:spacing w:beforeAutospacing="0" w:afterAutospacing="0" w:line="240" w:lineRule="auto"/>
        <w:ind w:firstLine="0" w:firstLineChars="0"/>
        <w:rPr>
          <w:rFonts w:hint="eastAsia" w:ascii="宋体" w:hAnsi="宋体" w:cs="宋体"/>
          <w:szCs w:val="24"/>
        </w:rPr>
      </w:pPr>
      <w:r>
        <w:rPr>
          <w:rFonts w:ascii="宋体" w:hAnsi="宋体" w:cs="宋体"/>
          <w:szCs w:val="24"/>
        </w:rPr>
        <w:drawing>
          <wp:inline distT="0" distB="0" distL="114300" distR="114300">
            <wp:extent cx="5219065" cy="3536315"/>
            <wp:effectExtent l="0" t="0" r="635" b="6985"/>
            <wp:docPr id="2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IMG_256"/>
                    <pic:cNvPicPr>
                      <a:picLocks noChangeAspect="1"/>
                    </pic:cNvPicPr>
                  </pic:nvPicPr>
                  <pic:blipFill>
                    <a:blip r:embed="rId31"/>
                    <a:stretch>
                      <a:fillRect/>
                    </a:stretch>
                  </pic:blipFill>
                  <pic:spPr>
                    <a:xfrm>
                      <a:off x="0" y="0"/>
                      <a:ext cx="5219065" cy="3536315"/>
                    </a:xfrm>
                    <a:prstGeom prst="rect">
                      <a:avLst/>
                    </a:prstGeom>
                    <a:noFill/>
                    <a:ln w="9525">
                      <a:noFill/>
                    </a:ln>
                  </pic:spPr>
                </pic:pic>
              </a:graphicData>
            </a:graphic>
          </wp:inline>
        </w:drawing>
      </w:r>
    </w:p>
    <w:p w14:paraId="6C002F82">
      <w:pPr>
        <w:pStyle w:val="5"/>
        <w:widowControl/>
        <w:spacing w:line="240" w:lineRule="auto"/>
        <w:ind w:firstLine="480"/>
      </w:pPr>
      <w:bookmarkStart w:id="128" w:name="_Toc30565"/>
      <w:r>
        <w:t>图</w:t>
      </w:r>
      <w:r>
        <w:fldChar w:fldCharType="begin"/>
      </w:r>
      <w:r>
        <w:instrText xml:space="preserve"> SEQ 图 \* ARABIC </w:instrText>
      </w:r>
      <w:r>
        <w:fldChar w:fldCharType="separate"/>
      </w:r>
      <w:r>
        <w:t>12</w:t>
      </w:r>
      <w:r>
        <w:fldChar w:fldCharType="end"/>
      </w:r>
      <w:bookmarkStart w:id="129" w:name="_Toc23375"/>
      <w:r>
        <w:rPr>
          <w:rFonts w:hint="eastAsia"/>
        </w:rPr>
        <w:t xml:space="preserve"> SHAP特征作用解释图</w:t>
      </w:r>
      <w:bookmarkEnd w:id="128"/>
      <w:bookmarkEnd w:id="129"/>
    </w:p>
    <w:p w14:paraId="5E2B76D3">
      <w:pPr>
        <w:pStyle w:val="15"/>
        <w:widowControl/>
        <w:spacing w:beforeAutospacing="0" w:afterAutospacing="0"/>
        <w:ind w:firstLine="480"/>
        <w:rPr>
          <w:rFonts w:cstheme="minorBidi"/>
          <w:kern w:val="2"/>
        </w:rPr>
      </w:pPr>
      <w:r>
        <w:rPr>
          <w:rFonts w:cstheme="minorBidi"/>
          <w:kern w:val="2"/>
        </w:rPr>
        <w:t>从全局特征重要性看，ECG块风险分数、住院聚合ECG风险特征、BUN均值、住院次数、历史ECG数量及若干ECG-临床交互项位于重要变量前列。由图1</w:t>
      </w:r>
      <w:r>
        <w:rPr>
          <w:rFonts w:hint="eastAsia" w:cstheme="minorBidi"/>
          <w:kern w:val="2"/>
        </w:rPr>
        <w:t>3</w:t>
      </w:r>
      <w:r>
        <w:rPr>
          <w:rFonts w:cstheme="minorBidi"/>
          <w:kern w:val="2"/>
        </w:rPr>
        <w:t>可见，模型不仅利用传统临床指标，也有效吸收了TCN生成的心电迁移表征及其住院层面的动态聚合信息。换言之，心电高危表型强度并不是边缘输入，而是参与综合高风险排序的重要特征来源。</w:t>
      </w:r>
    </w:p>
    <w:p w14:paraId="447A6C5F">
      <w:pPr>
        <w:pStyle w:val="15"/>
        <w:widowControl/>
        <w:spacing w:beforeAutospacing="0" w:afterAutospacing="0" w:line="240" w:lineRule="auto"/>
        <w:ind w:firstLine="0" w:firstLineChars="0"/>
        <w:jc w:val="center"/>
        <w:rPr>
          <w:rFonts w:cstheme="majorBidi"/>
          <w:kern w:val="2"/>
          <w:szCs w:val="20"/>
          <w14:ligatures w14:val="standardContextual"/>
        </w:rPr>
      </w:pPr>
      <w:r>
        <w:drawing>
          <wp:inline distT="0" distB="0" distL="114300" distR="114300">
            <wp:extent cx="4528820" cy="3157220"/>
            <wp:effectExtent l="0" t="0" r="5080" b="508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2"/>
                    <a:stretch>
                      <a:fillRect/>
                    </a:stretch>
                  </pic:blipFill>
                  <pic:spPr>
                    <a:xfrm>
                      <a:off x="0" y="0"/>
                      <a:ext cx="4528820" cy="3157220"/>
                    </a:xfrm>
                    <a:prstGeom prst="rect">
                      <a:avLst/>
                    </a:prstGeom>
                    <a:noFill/>
                    <a:ln>
                      <a:noFill/>
                    </a:ln>
                  </pic:spPr>
                </pic:pic>
              </a:graphicData>
            </a:graphic>
          </wp:inline>
        </w:drawing>
      </w:r>
    </w:p>
    <w:p w14:paraId="279C4BAF">
      <w:pPr>
        <w:pStyle w:val="5"/>
        <w:widowControl/>
        <w:spacing w:line="240" w:lineRule="auto"/>
        <w:ind w:firstLine="0" w:firstLineChars="0"/>
      </w:pPr>
      <w:bookmarkStart w:id="130" w:name="_Toc28821"/>
      <w:r>
        <w:t>图</w:t>
      </w:r>
      <w:r>
        <w:fldChar w:fldCharType="begin"/>
      </w:r>
      <w:r>
        <w:instrText xml:space="preserve"> SEQ 图 \* ARABIC </w:instrText>
      </w:r>
      <w:r>
        <w:fldChar w:fldCharType="separate"/>
      </w:r>
      <w:r>
        <w:t>13</w:t>
      </w:r>
      <w:r>
        <w:fldChar w:fldCharType="end"/>
      </w:r>
      <w:bookmarkStart w:id="131" w:name="_Toc3393"/>
      <w:r>
        <w:rPr>
          <w:rFonts w:hint="eastAsia"/>
        </w:rPr>
        <w:t xml:space="preserve"> </w:t>
      </w:r>
      <w:bookmarkEnd w:id="130"/>
      <w:r>
        <w:rPr>
          <w:rFonts w:hint="eastAsia"/>
        </w:rPr>
        <w:t>综合高风险预测任务SHAP特征重要性图</w:t>
      </w:r>
      <w:bookmarkEnd w:id="131"/>
    </w:p>
    <w:p w14:paraId="321043E1">
      <w:pPr>
        <w:pStyle w:val="15"/>
        <w:widowControl/>
        <w:spacing w:beforeAutospacing="0" w:afterAutospacing="0"/>
        <w:ind w:firstLine="480"/>
        <w:rPr>
          <w:rFonts w:cstheme="minorBidi"/>
          <w:kern w:val="2"/>
        </w:rPr>
      </w:pPr>
      <w:r>
        <w:rPr>
          <w:rFonts w:cstheme="minorBidi"/>
          <w:kern w:val="2"/>
        </w:rPr>
        <w:t>关键变量SHAP依赖图</w:t>
      </w:r>
      <w:r>
        <w:rPr>
          <w:rFonts w:hint="eastAsia" w:cstheme="minorBidi"/>
          <w:kern w:val="2"/>
        </w:rPr>
        <w:t>则</w:t>
      </w:r>
      <w:r>
        <w:rPr>
          <w:rFonts w:cstheme="minorBidi"/>
          <w:kern w:val="2"/>
        </w:rPr>
        <w:t>进一步揭示了变量取值与模型贡献之间的非线性关系。由图1</w:t>
      </w:r>
      <w:r>
        <w:rPr>
          <w:rFonts w:hint="eastAsia" w:cstheme="minorBidi"/>
          <w:kern w:val="2"/>
        </w:rPr>
        <w:t>4</w:t>
      </w:r>
      <w:r>
        <w:rPr>
          <w:rFonts w:cstheme="minorBidi"/>
          <w:kern w:val="2"/>
        </w:rPr>
        <w:t>可见，ECG块风险分数升高后，SHAP贡献整体由负向转为正向，提示心电高危表型增强会推动模型输出更高风险；住院最高ECG高危表型强度在高值区间贡献明显增加，说明住院期间出现较强心电高危表型具有重要提示意义。尿素氮和采集时年龄也呈现较清晰的风险增强趋势，提示肾功能负担和高龄状态仍是综合高风险识别中的重要临床背景。需要强调的是，SHAP结果反映变量对模型预测的贡献，不等同于因果关系。</w:t>
      </w:r>
    </w:p>
    <w:p w14:paraId="3508D745">
      <w:pPr>
        <w:pStyle w:val="15"/>
        <w:widowControl/>
        <w:spacing w:beforeAutospacing="0" w:afterAutospacing="0" w:line="240" w:lineRule="auto"/>
        <w:ind w:firstLine="0" w:firstLineChars="0"/>
        <w:jc w:val="center"/>
        <w:rPr>
          <w:rFonts w:hint="eastAsia" w:ascii="宋体" w:hAnsi="宋体" w:cs="宋体"/>
          <w:szCs w:val="24"/>
        </w:rPr>
      </w:pPr>
      <w:r>
        <w:drawing>
          <wp:inline distT="0" distB="0" distL="114300" distR="114300">
            <wp:extent cx="5231765" cy="3972560"/>
            <wp:effectExtent l="0" t="0" r="635" b="254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33"/>
                    <a:stretch>
                      <a:fillRect/>
                    </a:stretch>
                  </pic:blipFill>
                  <pic:spPr>
                    <a:xfrm>
                      <a:off x="0" y="0"/>
                      <a:ext cx="5231765" cy="3972560"/>
                    </a:xfrm>
                    <a:prstGeom prst="rect">
                      <a:avLst/>
                    </a:prstGeom>
                    <a:noFill/>
                    <a:ln>
                      <a:noFill/>
                    </a:ln>
                  </pic:spPr>
                </pic:pic>
              </a:graphicData>
            </a:graphic>
          </wp:inline>
        </w:drawing>
      </w:r>
    </w:p>
    <w:p w14:paraId="2F374550">
      <w:pPr>
        <w:pStyle w:val="5"/>
        <w:widowControl/>
        <w:spacing w:line="240" w:lineRule="auto"/>
        <w:ind w:firstLine="480"/>
      </w:pPr>
      <w:bookmarkStart w:id="132" w:name="_Toc31862"/>
      <w:r>
        <w:t>图</w:t>
      </w:r>
      <w:r>
        <w:fldChar w:fldCharType="begin"/>
      </w:r>
      <w:r>
        <w:instrText xml:space="preserve"> SEQ 图 \* ARABIC </w:instrText>
      </w:r>
      <w:r>
        <w:fldChar w:fldCharType="separate"/>
      </w:r>
      <w:r>
        <w:t>14</w:t>
      </w:r>
      <w:r>
        <w:fldChar w:fldCharType="end"/>
      </w:r>
      <w:bookmarkStart w:id="133" w:name="_Toc10917"/>
      <w:r>
        <w:rPr>
          <w:rFonts w:hint="eastAsia"/>
        </w:rPr>
        <w:t xml:space="preserve"> 关键变量SHAP依赖图</w:t>
      </w:r>
      <w:bookmarkEnd w:id="132"/>
      <w:bookmarkEnd w:id="133"/>
    </w:p>
    <w:p w14:paraId="766AE055">
      <w:pPr>
        <w:pStyle w:val="15"/>
        <w:widowControl/>
        <w:spacing w:beforeAutospacing="0" w:afterAutospacing="0"/>
        <w:ind w:firstLine="480"/>
        <w:rPr>
          <w:rFonts w:cstheme="minorBidi"/>
          <w:kern w:val="2"/>
        </w:rPr>
      </w:pPr>
      <w:r>
        <w:rPr>
          <w:rFonts w:hint="eastAsia" w:cstheme="minorBidi"/>
          <w:kern w:val="2"/>
        </w:rPr>
        <w:t>在风险预警场景中，模型不仅需要能够区分高低风险，还需要使预测概率具有一定解释意义。校准曲线用于比较模型预测概率与实际事件率之间的一致性，Brier Score用于量化概率误差。由图15可见，XGBoost-Bagging模型的预测概率整体随实际事件率升高而上升，且多数分箱点分布在理想校准线附近，说明模型输出具有较好的风险排序能力和一定的概率解释价值。同时，部分概率区间仍存在偏离，提示当前模型更适合作为风险排序和分层预警工具，而不宜直接作为绝对发生率估计。</w:t>
      </w:r>
    </w:p>
    <w:p w14:paraId="7D2D07A6">
      <w:pPr>
        <w:spacing w:line="240" w:lineRule="auto"/>
        <w:ind w:firstLine="0" w:firstLineChars="0"/>
        <w:jc w:val="center"/>
      </w:pPr>
      <w:r>
        <w:drawing>
          <wp:inline distT="0" distB="0" distL="114300" distR="114300">
            <wp:extent cx="4670425" cy="3689985"/>
            <wp:effectExtent l="0" t="0" r="6350" b="571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4"/>
                    <a:stretch>
                      <a:fillRect/>
                    </a:stretch>
                  </pic:blipFill>
                  <pic:spPr>
                    <a:xfrm>
                      <a:off x="0" y="0"/>
                      <a:ext cx="4670425" cy="3689985"/>
                    </a:xfrm>
                    <a:prstGeom prst="rect">
                      <a:avLst/>
                    </a:prstGeom>
                    <a:noFill/>
                    <a:ln>
                      <a:noFill/>
                    </a:ln>
                  </pic:spPr>
                </pic:pic>
              </a:graphicData>
            </a:graphic>
          </wp:inline>
        </w:drawing>
      </w:r>
    </w:p>
    <w:p w14:paraId="438B655D">
      <w:pPr>
        <w:pStyle w:val="5"/>
        <w:widowControl/>
        <w:spacing w:line="240" w:lineRule="auto"/>
        <w:ind w:firstLine="0" w:firstLineChars="0"/>
        <w:rPr>
          <w:rFonts w:hint="eastAsia" w:ascii="宋体" w:hAnsi="宋体" w:cs="宋体"/>
          <w:szCs w:val="24"/>
        </w:rPr>
      </w:pPr>
      <w:bookmarkStart w:id="134" w:name="_Toc3733"/>
      <w:r>
        <w:t>图</w:t>
      </w:r>
      <w:r>
        <w:fldChar w:fldCharType="begin"/>
      </w:r>
      <w:r>
        <w:instrText xml:space="preserve"> SEQ 图 \* ARABIC </w:instrText>
      </w:r>
      <w:r>
        <w:fldChar w:fldCharType="separate"/>
      </w:r>
      <w:r>
        <w:t>15</w:t>
      </w:r>
      <w:r>
        <w:fldChar w:fldCharType="end"/>
      </w:r>
      <w:bookmarkStart w:id="135" w:name="_Toc15544"/>
      <w:r>
        <w:rPr>
          <w:rFonts w:hint="eastAsia" w:cstheme="minorBidi"/>
          <w:szCs w:val="22"/>
          <w14:ligatures w14:val="none"/>
        </w:rPr>
        <w:t xml:space="preserve"> XGBoost-Bagging模型概率校准曲线</w:t>
      </w:r>
      <w:bookmarkEnd w:id="134"/>
      <w:bookmarkEnd w:id="135"/>
    </w:p>
    <w:p w14:paraId="55BC7694">
      <w:pPr>
        <w:pStyle w:val="15"/>
        <w:widowControl/>
        <w:spacing w:beforeAutospacing="0" w:afterAutospacing="0"/>
        <w:ind w:firstLine="480"/>
        <w:rPr>
          <w:rFonts w:cstheme="minorBidi"/>
          <w:kern w:val="2"/>
        </w:rPr>
      </w:pPr>
      <w:r>
        <w:rPr>
          <w:rFonts w:hint="eastAsia" w:cstheme="minorBidi"/>
          <w:kern w:val="2"/>
        </w:rPr>
        <w:t>由此可知，</w:t>
      </w:r>
      <w:r>
        <w:rPr>
          <w:rFonts w:cstheme="minorBidi"/>
          <w:kern w:val="2"/>
        </w:rPr>
        <w:t>性能评价证明模型具有较好的区分能力，特征消融显示ECG相关变量具有增量价值，风险分层说明模型输出能够转化为清晰的风险等级，SHAP解释进一步揭示了心电迁移表征、肾功能负担和临床过程变量的共同作用。上述结果支持将该模型作为住院患者近期高危风险筛查和优先复核的辅助工具</w:t>
      </w:r>
      <w:r>
        <w:rPr>
          <w:rFonts w:hint="eastAsia" w:cstheme="minorBidi"/>
          <w:kern w:val="2"/>
        </w:rPr>
        <w:t>。</w:t>
      </w:r>
    </w:p>
    <w:p w14:paraId="3A1DE4C8">
      <w:pPr>
        <w:ind w:firstLine="480"/>
      </w:pPr>
      <w:r>
        <w:rPr>
          <w:rFonts w:hint="eastAsia"/>
        </w:rPr>
        <w:br w:type="page"/>
      </w:r>
    </w:p>
    <w:p w14:paraId="27DE9E68">
      <w:pPr>
        <w:pStyle w:val="2"/>
        <w:jc w:val="center"/>
      </w:pPr>
      <w:bookmarkStart w:id="136" w:name="_Toc27007"/>
      <w:r>
        <w:rPr>
          <w:rFonts w:hint="eastAsia"/>
        </w:rPr>
        <w:t>六、结论与展望</w:t>
      </w:r>
      <w:bookmarkEnd w:id="136"/>
    </w:p>
    <w:p w14:paraId="226FB5C7">
      <w:pPr>
        <w:pStyle w:val="3"/>
        <w:ind w:firstLine="560"/>
      </w:pPr>
      <w:bookmarkStart w:id="137" w:name="_Toc2127"/>
      <w:bookmarkStart w:id="138" w:name="_Toc13178"/>
      <w:r>
        <w:rPr>
          <w:rFonts w:hint="eastAsia"/>
        </w:rPr>
        <w:t>（一）研究结论</w:t>
      </w:r>
      <w:bookmarkEnd w:id="137"/>
      <w:bookmarkEnd w:id="138"/>
    </w:p>
    <w:p w14:paraId="329D5D66">
      <w:pPr>
        <w:ind w:firstLine="480"/>
        <w:rPr>
          <w:color w:val="000000" w:themeColor="text1"/>
          <w14:textFill>
            <w14:solidFill>
              <w14:schemeClr w14:val="tx1"/>
            </w14:solidFill>
          </w14:textFill>
        </w:rPr>
      </w:pPr>
      <w:bookmarkStart w:id="139" w:name="_Toc29584"/>
      <w:r>
        <w:rPr>
          <w:rFonts w:hint="eastAsia"/>
        </w:rPr>
        <w:t>本</w:t>
      </w:r>
      <w:r>
        <w:rPr>
          <w:rFonts w:hint="eastAsia"/>
          <w:color w:val="000000" w:themeColor="text1"/>
          <w14:textFill>
            <w14:solidFill>
              <w14:schemeClr w14:val="tx1"/>
            </w14:solidFill>
          </w14:textFill>
        </w:rPr>
        <w:t>文围绕心源性猝死高危风险早期预测为主要目标，针对临床心电数据缺乏标准的SCD死因标签的临床心电数据、单模态建模信息不足、特征冗余干扰建模等问题，构建“TCN迁移学习心电表征提取+多源特征融合+LASSO关键特征筛选+XGBoost建模”的风险预测框架，完成数据预处理、心电高危表征提取、特征筛选、模型构建、性能验证与可解释性分析后，得到主要结论如下：</w:t>
      </w:r>
    </w:p>
    <w:p w14:paraId="5A14DE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多源数据联动预处理可显著提升建模数据质量，为后续模型训练奠定可靠基础。通过“患者ID+住院ID+心电图编号”三重主键实现心电与临床数据精准匹配，经核心字段筛选、重复样本剔除、缺失值分级修复、异常值修正及特征筛选，构建出高质量、低噪声、无冗余的标准化数据集，为后续模型训练奠定可靠数据基础。</w:t>
      </w:r>
    </w:p>
    <w:p w14:paraId="6D9C798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基于TCN迁移学习的心电时序特征提取方法，可有效挖掘心电信号中的高危风险信息。本文以外部源域心电数据训练TCN模型，再将其迁移至MIMIC-IV-ECG临床心电数据，自动提取心电异常强度分数，构建心电高危风险表征；该表征与院内真实临床结局高度相关，验证了TCN迁移学习在提取心电时序风险特征上的有效性，为后续多源融合建模提供了心电维度的有效特征支撑。</w:t>
      </w:r>
    </w:p>
    <w:p w14:paraId="26EF22A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3.心电高危表征与临床结构化特征的多源融合，结合LASSO关键特征筛选，能够显著提升高</w:t>
      </w:r>
      <w:bookmarkStart w:id="170" w:name="_GoBack"/>
      <w:bookmarkEnd w:id="170"/>
      <w:r>
        <w:rPr>
          <w:rFonts w:hint="eastAsia"/>
          <w:color w:val="000000" w:themeColor="text1"/>
          <w14:textFill>
            <w14:solidFill>
              <w14:schemeClr w14:val="tx1"/>
            </w14:solidFill>
          </w14:textFill>
        </w:rPr>
        <w:t>危风险预测模型的判别性能，实现不同维度风险信息的有效互补。本文将TCN模型提取的心电高危风险表征，与经预处理筛选后的临床结构化特征进行特征级融合，构建初始多源特征集；再通过LASSO回归进行关键特征筛选，剔除冗余与噪声变量，构建精简且高区分度的特征子集。经验证，融合特征训练的模型在综合高风险死亡等核心预测任务中的判别精度，均显著优于单心电、单临床基线模型，证实心电即时异常信号与临床长期危险因素存在互补性，可捕捉高危电生理表型特征。</w:t>
      </w:r>
    </w:p>
    <w:p w14:paraId="3F126A1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XGBoost模型在高危风险极端不平衡数据集上具备好的综合性能，具有判别能力、稳定性。本文基于多源特征融合，搭建XGBoost为核心风险预测模型；该模型在综合高风险预测任务中AUC达0.859，且经五折交叉验证、风险分层，兼具良好的稳定性与临床效用；同时结合SHAP可解释性分析，可明确核心风险因素的贡献度，有效打破模型“黑箱”问题，提升模型的临床风险评估中的可解释性。</w:t>
      </w:r>
      <w:bookmarkEnd w:id="139"/>
    </w:p>
    <w:p w14:paraId="407DD2DF">
      <w:pPr>
        <w:pStyle w:val="3"/>
        <w:ind w:firstLine="560"/>
        <w:rPr>
          <w:color w:val="000000" w:themeColor="text1"/>
          <w14:textFill>
            <w14:solidFill>
              <w14:schemeClr w14:val="tx1"/>
            </w14:solidFill>
          </w14:textFill>
        </w:rPr>
      </w:pPr>
      <w:bookmarkStart w:id="140" w:name="_Toc27189"/>
      <w:bookmarkStart w:id="141" w:name="_Toc23797"/>
      <w:r>
        <w:rPr>
          <w:rFonts w:hint="eastAsia"/>
          <w:color w:val="000000" w:themeColor="text1"/>
          <w14:textFill>
            <w14:solidFill>
              <w14:schemeClr w14:val="tx1"/>
            </w14:solidFill>
          </w14:textFill>
        </w:rPr>
        <w:t>（二）研究不足</w:t>
      </w:r>
      <w:bookmarkEnd w:id="140"/>
      <w:bookmarkEnd w:id="141"/>
    </w:p>
    <w:p w14:paraId="360F83E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1.数据来源存在局限性，本研究基于MIMIC-IV欧美人群公开数据库，模型在国内人群中的适用性与泛化性有待进一步验证。</w:t>
      </w:r>
    </w:p>
    <w:p w14:paraId="0C4465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2.建模场景相对单一，仅基于住院期间单次心电数据建模，未纳入可穿戴设备连续动态心电数据，无法实现SCD长期动态监测与居家预警。</w:t>
      </w:r>
    </w:p>
    <w:p w14:paraId="37004400">
      <w:pPr>
        <w:ind w:firstLine="480"/>
      </w:pPr>
      <w:r>
        <w:rPr>
          <w:rFonts w:hint="eastAsia"/>
          <w:color w:val="000000" w:themeColor="text1"/>
          <w14:textFill>
            <w14:solidFill>
              <w14:schemeClr w14:val="tx1"/>
            </w14:solidFill>
          </w14:textFill>
        </w:rPr>
        <w:t>3.模型应用场景受限，未针对基</w:t>
      </w:r>
      <w:r>
        <w:rPr>
          <w:rFonts w:hint="eastAsia"/>
        </w:rPr>
        <w:t>层医疗机构、院前急救等场景做轻量化优化，模型落地部署的便捷性有待提升。</w:t>
      </w:r>
    </w:p>
    <w:p w14:paraId="203D9842">
      <w:pPr>
        <w:pStyle w:val="3"/>
        <w:ind w:firstLine="560"/>
      </w:pPr>
      <w:bookmarkStart w:id="142" w:name="_Toc12384"/>
      <w:bookmarkStart w:id="143" w:name="_Toc8440"/>
      <w:r>
        <w:rPr>
          <w:rFonts w:hint="eastAsia"/>
        </w:rPr>
        <w:t>（三）未来展望</w:t>
      </w:r>
      <w:bookmarkEnd w:id="142"/>
      <w:bookmarkEnd w:id="143"/>
    </w:p>
    <w:p w14:paraId="7606D0CC">
      <w:pPr>
        <w:ind w:firstLine="480"/>
      </w:pPr>
      <w:r>
        <w:rPr>
          <w:rFonts w:hint="eastAsia"/>
        </w:rPr>
        <w:t>1.构建本土化多中心临床数据集，纳入我国人群的心电与临床数据，优化模型人群适配性，提升模型在国内临床场景的实用性与泛化能力。</w:t>
      </w:r>
    </w:p>
    <w:p w14:paraId="7E85247B">
      <w:pPr>
        <w:ind w:firstLine="480"/>
      </w:pPr>
      <w:r>
        <w:rPr>
          <w:rFonts w:hint="eastAsia"/>
        </w:rPr>
        <w:t>2.融合可穿戴动态心电监测数据，构建连续时序SCD风险预警模型，实现从院内单次检测向居家动态筛查、院前早期预警的延伸。</w:t>
      </w:r>
    </w:p>
    <w:p w14:paraId="54D584FC">
      <w:pPr>
        <w:ind w:firstLine="480"/>
        <w:sectPr>
          <w:pgSz w:w="11906" w:h="16838"/>
          <w:pgMar w:top="1440" w:right="1800" w:bottom="1440" w:left="1800" w:header="851" w:footer="992" w:gutter="0"/>
          <w:cols w:space="425" w:num="1"/>
          <w:docGrid w:type="lines" w:linePitch="312" w:charSpace="0"/>
        </w:sectPr>
      </w:pPr>
      <w:r>
        <w:rPr>
          <w:rFonts w:hint="eastAsia"/>
        </w:rPr>
        <w:t>3.拓展多模态融合建模，引入心脏超声、基因数据、生活方式等多维度信息，并尝试或融合其他深度学习框架或机器学习方法，构建更全面、更精准的SCD多因素风险评估体系。</w:t>
      </w:r>
    </w:p>
    <w:p w14:paraId="1E5B8C98">
      <w:pPr>
        <w:pStyle w:val="2"/>
        <w:keepNext w:val="0"/>
        <w:keepLines w:val="0"/>
        <w:pageBreakBefore w:val="0"/>
        <w:widowControl w:val="0"/>
        <w:kinsoku/>
        <w:wordWrap/>
        <w:overflowPunct/>
        <w:topLinePunct w:val="0"/>
        <w:autoSpaceDE/>
        <w:autoSpaceDN/>
        <w:bidi w:val="0"/>
        <w:adjustRightInd/>
        <w:snapToGrid/>
        <w:jc w:val="center"/>
        <w:textAlignment w:val="auto"/>
        <w:rPr>
          <w:sz w:val="28"/>
          <w:szCs w:val="28"/>
        </w:rPr>
      </w:pPr>
      <w:bookmarkStart w:id="144" w:name="_Toc20349"/>
      <w:r>
        <w:rPr>
          <w:rFonts w:hint="eastAsia"/>
          <w:sz w:val="28"/>
          <w:szCs w:val="28"/>
        </w:rPr>
        <w:t>参考文献</w:t>
      </w:r>
      <w:bookmarkEnd w:id="144"/>
    </w:p>
    <w:p w14:paraId="392D5CEA">
      <w:pPr>
        <w:pStyle w:val="22"/>
        <w:numPr>
          <w:ilvl w:val="0"/>
          <w:numId w:val="1"/>
        </w:numPr>
        <w:wordWrap w:val="0"/>
        <w:topLinePunct/>
        <w:ind w:firstLineChars="0"/>
      </w:pPr>
      <w:bookmarkStart w:id="145" w:name="_Ref11088"/>
      <w:r>
        <w:rPr>
          <w:rFonts w:hint="eastAsia"/>
        </w:rPr>
        <w:t>余燕婷.基于心电信号的心源性猝死风险预警模型研究[D].福州大学,2023.DOI:10.27022/d.cnki.gfzhu.2023.002576.</w:t>
      </w:r>
      <w:bookmarkEnd w:id="145"/>
    </w:p>
    <w:p w14:paraId="1C52519B">
      <w:pPr>
        <w:pStyle w:val="22"/>
        <w:numPr>
          <w:ilvl w:val="0"/>
          <w:numId w:val="1"/>
        </w:numPr>
        <w:wordWrap w:val="0"/>
        <w:topLinePunct/>
        <w:ind w:firstLineChars="0"/>
      </w:pPr>
      <w:bookmarkStart w:id="146" w:name="_Ref11212"/>
      <w:r>
        <w:rPr>
          <w:rFonts w:hint="eastAsia"/>
        </w:rPr>
        <w:t>陈泽贤,周丽,郑璐.ECG参数联合TG/HDL-C、Hcy/HDL-C对急性心肌梗死患者MACE发生的预测价值：一项基于心电信号与生物学标志物的研究[J].现代生物医学进展,2025,25(23):3725-3731.DOI:10.13241/j.cnki.pmb.2025.23.005.</w:t>
      </w:r>
      <w:bookmarkEnd w:id="146"/>
    </w:p>
    <w:p w14:paraId="1D115D8F">
      <w:pPr>
        <w:pStyle w:val="22"/>
        <w:numPr>
          <w:ilvl w:val="0"/>
          <w:numId w:val="1"/>
        </w:numPr>
        <w:wordWrap w:val="0"/>
        <w:topLinePunct/>
        <w:ind w:firstLineChars="0"/>
      </w:pPr>
      <w:bookmarkStart w:id="147" w:name="_Ref11232"/>
      <w:r>
        <w:rPr>
          <w:rFonts w:hint="eastAsia"/>
        </w:rPr>
        <w:t>傅国华,储慧民,孙汉泽,等.迁移学习方法在精准识别室性异位QRS波群中的应用[J].心电与循环,2024,43(05):469-474.</w:t>
      </w:r>
      <w:bookmarkEnd w:id="147"/>
    </w:p>
    <w:p w14:paraId="3E3EFDE8">
      <w:pPr>
        <w:pStyle w:val="22"/>
        <w:numPr>
          <w:ilvl w:val="0"/>
          <w:numId w:val="1"/>
        </w:numPr>
        <w:wordWrap w:val="0"/>
        <w:topLinePunct/>
        <w:ind w:firstLineChars="0"/>
      </w:pPr>
      <w:bookmarkStart w:id="148" w:name="_Ref11346"/>
      <w:r>
        <w:rPr>
          <w:rFonts w:hint="eastAsia"/>
        </w:rPr>
        <w:t>廖杰.基于ECG信号的心源性猝死预测研究[D].北京邮电大学,2023.DOI:10.26969/d.cnki.gbydu.2023.002417.</w:t>
      </w:r>
      <w:bookmarkEnd w:id="148"/>
    </w:p>
    <w:p w14:paraId="119F87A6">
      <w:pPr>
        <w:pStyle w:val="22"/>
        <w:numPr>
          <w:ilvl w:val="0"/>
          <w:numId w:val="1"/>
        </w:numPr>
        <w:wordWrap w:val="0"/>
        <w:topLinePunct/>
        <w:ind w:firstLineChars="0"/>
        <w:rPr>
          <w:color w:val="000000" w:themeColor="text1"/>
          <w14:textFill>
            <w14:solidFill>
              <w14:schemeClr w14:val="tx1"/>
            </w14:solidFill>
          </w14:textFill>
        </w:rPr>
      </w:pPr>
      <w:bookmarkStart w:id="149" w:name="_Ref11369"/>
      <w:r>
        <w:rPr>
          <w:rFonts w:hint="eastAsia"/>
          <w:color w:val="000000" w:themeColor="text1"/>
          <w14:textFill>
            <w14:solidFill>
              <w14:schemeClr w14:val="tx1"/>
            </w14:solidFill>
          </w14:textFill>
        </w:rPr>
        <w:t>孙志强.基于HRV多域特征融合的心源性猝死智能预测研究[D].河北大学,2023.DOI:10.27103/d.cnki.ghebu.2023.002722.</w:t>
      </w:r>
      <w:bookmarkEnd w:id="149"/>
    </w:p>
    <w:p w14:paraId="3023A108">
      <w:pPr>
        <w:pStyle w:val="22"/>
        <w:numPr>
          <w:ilvl w:val="0"/>
          <w:numId w:val="1"/>
        </w:numPr>
        <w:wordWrap w:val="0"/>
        <w:topLinePunct/>
        <w:ind w:firstLineChars="0"/>
      </w:pPr>
      <w:bookmarkStart w:id="150" w:name="_Ref11454"/>
      <w:r>
        <w:rPr>
          <w:rFonts w:hint="eastAsia"/>
        </w:rPr>
        <w:t>秦绍明,王琦,徐晨,等.基于小波变换和卡尔曼滤波的心电信号滤波算法研究[J].医疗卫生装备,2026,47(03):18-25.DOI:10.19745/j.1003-8868.2026038.</w:t>
      </w:r>
      <w:bookmarkEnd w:id="150"/>
    </w:p>
    <w:p w14:paraId="61E56C72">
      <w:pPr>
        <w:pStyle w:val="22"/>
        <w:numPr>
          <w:ilvl w:val="0"/>
          <w:numId w:val="1"/>
        </w:numPr>
        <w:wordWrap w:val="0"/>
        <w:topLinePunct/>
        <w:ind w:firstLineChars="0"/>
      </w:pPr>
      <w:bookmarkStart w:id="151" w:name="_Ref11480"/>
      <w:r>
        <w:rPr>
          <w:rFonts w:hint="eastAsia"/>
        </w:rPr>
        <w:t>张显才,刘宇轩,刘登科.基于决策树和随机森林的ECG信号分类[J].物联网技术,2025,15(11):63-67.DOI:10.16667/j.issn.2095-1302.2025.11.014.</w:t>
      </w:r>
      <w:bookmarkEnd w:id="151"/>
    </w:p>
    <w:p w14:paraId="397E48A0">
      <w:pPr>
        <w:pStyle w:val="22"/>
        <w:numPr>
          <w:ilvl w:val="0"/>
          <w:numId w:val="1"/>
        </w:numPr>
        <w:wordWrap w:val="0"/>
        <w:topLinePunct/>
        <w:ind w:firstLineChars="0"/>
      </w:pPr>
      <w:bookmarkStart w:id="152" w:name="_Ref11513"/>
      <w:r>
        <w:rPr>
          <w:rFonts w:hint="eastAsia"/>
        </w:rPr>
        <w:t>王毓.基于多特征融合的ECG心律失常分类研究[D].西安工业大学,2025.DOI:10.27391/d.cnki.gxagu.2025.000204.</w:t>
      </w:r>
      <w:bookmarkEnd w:id="152"/>
    </w:p>
    <w:p w14:paraId="3CB4FB97">
      <w:pPr>
        <w:pStyle w:val="22"/>
        <w:numPr>
          <w:ilvl w:val="0"/>
          <w:numId w:val="1"/>
        </w:numPr>
        <w:wordWrap w:val="0"/>
        <w:topLinePunct/>
        <w:ind w:firstLineChars="0"/>
      </w:pPr>
      <w:bookmarkStart w:id="153" w:name="_Ref11620"/>
      <w:r>
        <w:rPr>
          <w:rFonts w:hint="eastAsia"/>
        </w:rPr>
        <w:t>郭禧斌,王瞧,程晓琦.基于多尺度融合特征卷积神经网络的房颤自动检测算法[J].计算技术与自动化,2025,44(04):7-12.DOI:10.16339/j.cnki.jsjsyzdh.202504002.</w:t>
      </w:r>
      <w:bookmarkEnd w:id="153"/>
    </w:p>
    <w:p w14:paraId="0624A50E">
      <w:pPr>
        <w:pStyle w:val="22"/>
        <w:numPr>
          <w:ilvl w:val="0"/>
          <w:numId w:val="1"/>
        </w:numPr>
        <w:wordWrap w:val="0"/>
        <w:topLinePunct/>
        <w:ind w:firstLineChars="0"/>
        <w:rPr>
          <w:color w:val="000000" w:themeColor="text1"/>
          <w14:textFill>
            <w14:solidFill>
              <w14:schemeClr w14:val="tx1"/>
            </w14:solidFill>
          </w14:textFill>
        </w:rPr>
      </w:pPr>
      <w:bookmarkStart w:id="154" w:name="_Ref11722"/>
      <w:r>
        <w:rPr>
          <w:rFonts w:hint="eastAsia"/>
        </w:rPr>
        <w:t>赵喆,唐建同,王天昊,等.基于超短时HRV特征的心律失常识别模型及有效性验证[J/OL].天津工业大学学报,1-10[2026-05-02].https://link.cnki.net/urlid/12.1</w:t>
      </w:r>
      <w:r>
        <w:rPr>
          <w:rFonts w:hint="eastAsia"/>
          <w:color w:val="000000" w:themeColor="text1"/>
          <w14:textFill>
            <w14:solidFill>
              <w14:schemeClr w14:val="tx1"/>
            </w14:solidFill>
          </w14:textFill>
        </w:rPr>
        <w:t>341.TS.20260416.1838.002.</w:t>
      </w:r>
      <w:bookmarkEnd w:id="154"/>
    </w:p>
    <w:p w14:paraId="46DCAB5B">
      <w:pPr>
        <w:pStyle w:val="22"/>
        <w:numPr>
          <w:ilvl w:val="0"/>
          <w:numId w:val="1"/>
        </w:numPr>
        <w:wordWrap w:val="0"/>
        <w:topLinePunct/>
        <w:ind w:firstLineChars="0"/>
        <w:rPr>
          <w:color w:val="000000" w:themeColor="text1"/>
          <w14:textFill>
            <w14:solidFill>
              <w14:schemeClr w14:val="tx1"/>
            </w14:solidFill>
          </w14:textFill>
        </w:rPr>
      </w:pPr>
      <w:bookmarkStart w:id="155" w:name="_Ref11725"/>
      <w:r>
        <w:rPr>
          <w:rFonts w:hint="eastAsia"/>
          <w:color w:val="000000" w:themeColor="text1"/>
          <w14:textFill>
            <w14:solidFill>
              <w14:schemeClr w14:val="tx1"/>
            </w14:solidFill>
          </w14:textFill>
        </w:rPr>
        <w:t>渠梦,傅蓉.ResLSTM-TemporalSE：多导联心电信号的自动分类[J].南方医科大学学报,2025,45(12):2708-2717.</w:t>
      </w:r>
      <w:bookmarkEnd w:id="155"/>
    </w:p>
    <w:p w14:paraId="1AA68E6A">
      <w:pPr>
        <w:pStyle w:val="22"/>
        <w:numPr>
          <w:ilvl w:val="0"/>
          <w:numId w:val="1"/>
        </w:numPr>
        <w:wordWrap w:val="0"/>
        <w:topLinePunct/>
        <w:ind w:firstLineChars="0"/>
      </w:pPr>
      <w:bookmarkStart w:id="156" w:name="_Ref11885"/>
      <w:r>
        <w:rPr>
          <w:rFonts w:hint="eastAsia"/>
        </w:rPr>
        <w:t>樊明辉,谢锦成,王量弘,等.基于迁移学习与心电信号的睡眠呼吸暂停综合征分类模型构建[J].实用心电与临床诊疗,2025,34(03):319-326+313.DOI:10.13308/j.issn.2097-5716.2025.03.002.</w:t>
      </w:r>
      <w:bookmarkEnd w:id="156"/>
    </w:p>
    <w:p w14:paraId="02B22F82">
      <w:pPr>
        <w:pStyle w:val="22"/>
        <w:numPr>
          <w:ilvl w:val="0"/>
          <w:numId w:val="1"/>
        </w:numPr>
        <w:wordWrap w:val="0"/>
        <w:topLinePunct/>
        <w:ind w:firstLineChars="0"/>
      </w:pPr>
      <w:bookmarkStart w:id="157" w:name="_Ref11999"/>
      <w:r>
        <w:rPr>
          <w:rFonts w:hint="eastAsia"/>
        </w:rPr>
        <w:t>龚欢欢,柯晓伟,王爱民,等.可解释机器学习模型预测心脏骤停患者院内死亡风险:基于MIMIC-Ⅳ2.0数据库[J].协和医学杂志,2023,14(3):528-535.DOI:10.12290/xhyxzz.2022-0733.</w:t>
      </w:r>
      <w:bookmarkEnd w:id="157"/>
    </w:p>
    <w:p w14:paraId="08D54E25">
      <w:pPr>
        <w:pStyle w:val="22"/>
        <w:numPr>
          <w:ilvl w:val="0"/>
          <w:numId w:val="1"/>
        </w:numPr>
        <w:wordWrap w:val="0"/>
        <w:topLinePunct/>
        <w:ind w:firstLineChars="0"/>
      </w:pPr>
      <w:bookmarkStart w:id="158" w:name="_Ref12153"/>
      <w:r>
        <w:rPr>
          <w:rFonts w:hint="eastAsia"/>
        </w:rPr>
        <w:t>张彬阳.基于多模态的心律失常分类和不良事件预测研究[D].扬州大学,2025.DOI:10.27441/d.cnki.gyzdu.2025.002250.</w:t>
      </w:r>
      <w:bookmarkEnd w:id="158"/>
    </w:p>
    <w:p w14:paraId="7A239298">
      <w:pPr>
        <w:pStyle w:val="22"/>
        <w:numPr>
          <w:ilvl w:val="0"/>
          <w:numId w:val="1"/>
        </w:numPr>
        <w:wordWrap w:val="0"/>
        <w:topLinePunct/>
        <w:ind w:firstLineChars="0"/>
      </w:pPr>
      <w:bookmarkStart w:id="159" w:name="_Ref12159"/>
      <w:r>
        <w:rPr>
          <w:rFonts w:hint="eastAsia"/>
        </w:rPr>
        <w:t>葛昭阳.多源特征融合的心电智能分析方法研究[D].郑州大学,2022.DOI:10.27466/d.cnki.gzzdu.2022.005998.</w:t>
      </w:r>
      <w:bookmarkEnd w:id="159"/>
    </w:p>
    <w:p w14:paraId="41BBC80C">
      <w:pPr>
        <w:pStyle w:val="22"/>
        <w:numPr>
          <w:ilvl w:val="0"/>
          <w:numId w:val="1"/>
        </w:numPr>
        <w:wordWrap w:val="0"/>
        <w:topLinePunct/>
        <w:ind w:firstLineChars="0"/>
      </w:pPr>
      <w:bookmarkStart w:id="160" w:name="_Ref18927"/>
      <w:r>
        <w:t>刘佳慧,乔淦,葛慧敏,等.青年心源性猝死研究进展[J].中国中医药现代远程教育,2022,20(24):196-199.</w:t>
      </w:r>
      <w:bookmarkEnd w:id="160"/>
    </w:p>
    <w:p w14:paraId="5BF64235">
      <w:pPr>
        <w:pStyle w:val="22"/>
        <w:numPr>
          <w:ilvl w:val="0"/>
          <w:numId w:val="1"/>
        </w:numPr>
        <w:wordWrap w:val="0"/>
        <w:topLinePunct/>
        <w:ind w:firstLineChars="0"/>
      </w:pPr>
      <w:bookmarkStart w:id="161" w:name="_Ref18572"/>
      <w:r>
        <w:t>刘强,刘业发,徐笛,等.心率变异性临床评定分析[J].慢性病学杂志,2022,23(10):1448-1452.DOI:10.16440/J.CNKI.1674-8166.2022.10.03.</w:t>
      </w:r>
      <w:bookmarkEnd w:id="161"/>
    </w:p>
    <w:p w14:paraId="1156E0E5">
      <w:pPr>
        <w:pStyle w:val="22"/>
        <w:numPr>
          <w:ilvl w:val="0"/>
          <w:numId w:val="1"/>
        </w:numPr>
        <w:wordWrap w:val="0"/>
        <w:topLinePunct/>
        <w:ind w:firstLineChars="0"/>
      </w:pPr>
      <w:bookmarkStart w:id="162" w:name="_Ref11777"/>
      <w:r>
        <w:rPr>
          <w:rFonts w:hint="eastAsia"/>
        </w:rPr>
        <w:t>Weimann K, Conrad T O F. Transfer learning for ECG classification[J]. Scientific reports, 2021, 11(1): 5251.</w:t>
      </w:r>
      <w:bookmarkEnd w:id="162"/>
    </w:p>
    <w:p w14:paraId="4CFE6B69">
      <w:pPr>
        <w:pStyle w:val="22"/>
        <w:numPr>
          <w:ilvl w:val="0"/>
          <w:numId w:val="1"/>
        </w:numPr>
        <w:wordWrap w:val="0"/>
        <w:topLinePunct/>
        <w:ind w:firstLineChars="0"/>
      </w:pPr>
      <w:bookmarkStart w:id="163" w:name="_Ref11862"/>
      <w:r>
        <w:rPr>
          <w:rFonts w:hint="eastAsia"/>
        </w:rPr>
        <w:t>Monachino G, Zanchi B, Wand M, et al. Overcoming data scarcity in life-threatening arrhythmia detection through transfer learning[J]. Communications Medicine, 2025, 5(1): 248.</w:t>
      </w:r>
      <w:bookmarkEnd w:id="163"/>
    </w:p>
    <w:p w14:paraId="576B7A27">
      <w:pPr>
        <w:pStyle w:val="22"/>
        <w:numPr>
          <w:ilvl w:val="0"/>
          <w:numId w:val="1"/>
        </w:numPr>
        <w:wordWrap w:val="0"/>
        <w:topLinePunct/>
        <w:ind w:firstLineChars="0"/>
      </w:pPr>
      <w:bookmarkStart w:id="164" w:name="_Ref11924"/>
      <w:r>
        <w:rPr>
          <w:rFonts w:hint="eastAsia"/>
        </w:rPr>
        <w:t>Zhang P, Chen Y, Lin F, et al. Semi-supervised learning for automatic atrial fibrillation detection in 24-hour Holter monitoring[J]. IEEE Journal of Biomedical and Health Informatics, 2022, 26(8): 3791-3801.</w:t>
      </w:r>
      <w:bookmarkEnd w:id="164"/>
    </w:p>
    <w:p w14:paraId="513A104B">
      <w:pPr>
        <w:pStyle w:val="22"/>
        <w:numPr>
          <w:ilvl w:val="0"/>
          <w:numId w:val="1"/>
        </w:numPr>
        <w:wordWrap w:val="0"/>
        <w:topLinePunct/>
        <w:ind w:firstLineChars="0"/>
      </w:pPr>
      <w:bookmarkStart w:id="165" w:name="_Ref11947"/>
      <w:r>
        <w:rPr>
          <w:rFonts w:hint="eastAsia"/>
        </w:rPr>
        <w:t>Rahman S, Karmakar C. Semi-Supervised Contrastive Learning for Label-Efficient Electrocardiogram Noise Detection[J]. IEEE Transactions on Instrumentation and Measurement, 2026.</w:t>
      </w:r>
      <w:bookmarkEnd w:id="165"/>
    </w:p>
    <w:p w14:paraId="3B8FFD31">
      <w:pPr>
        <w:pStyle w:val="22"/>
        <w:numPr>
          <w:ilvl w:val="0"/>
          <w:numId w:val="1"/>
        </w:numPr>
        <w:wordWrap w:val="0"/>
        <w:topLinePunct/>
        <w:ind w:firstLineChars="0"/>
      </w:pPr>
      <w:bookmarkStart w:id="166" w:name="_Ref11966"/>
      <w:r>
        <w:rPr>
          <w:rFonts w:hint="eastAsia"/>
        </w:rPr>
        <w:t>Shi J, Li Z, Liu W, et al. An adaptive threshold-based semi-supervised learning method for cardiovascular disease detection[J]. Information Sciences, 2024, 677: 120881.</w:t>
      </w:r>
      <w:bookmarkEnd w:id="166"/>
    </w:p>
    <w:p w14:paraId="1DF10284">
      <w:pPr>
        <w:pStyle w:val="22"/>
        <w:numPr>
          <w:ilvl w:val="0"/>
          <w:numId w:val="1"/>
        </w:numPr>
        <w:wordWrap w:val="0"/>
        <w:topLinePunct/>
        <w:ind w:firstLineChars="0"/>
      </w:pPr>
      <w:bookmarkStart w:id="167" w:name="_Ref12068"/>
      <w:r>
        <w:rPr>
          <w:rFonts w:hint="eastAsia"/>
        </w:rPr>
        <w:t>Swee S, Adam I, Zheng E Y, et al. Multimodal Integration of Ambulatory ECG and Clinical Features for Sudden Cardiac Death and Pump Failure Death Prediction[J]. medRxiv, 2026: 2026.04. 21.26351421.</w:t>
      </w:r>
      <w:bookmarkEnd w:id="167"/>
    </w:p>
    <w:p w14:paraId="41FA40E5">
      <w:pPr>
        <w:pStyle w:val="22"/>
        <w:numPr>
          <w:ilvl w:val="0"/>
          <w:numId w:val="1"/>
        </w:numPr>
        <w:wordWrap w:val="0"/>
        <w:topLinePunct/>
        <w:ind w:left="442" w:hanging="442" w:firstLineChars="0"/>
      </w:pPr>
      <w:bookmarkStart w:id="168" w:name="_Ref18418"/>
      <w:r>
        <w:t>Aktaa S, Tzeis S, Gale C P, et al. European Society of Cardiology quality indicators for the management of patients with ventricular arrhythmias and the prevention of sudden cardiac death: developed in collaboration with the European heart rhythm association of the European society of cardiology[J]. Europace, 2023, 25(1): 199-210.</w:t>
      </w:r>
      <w:bookmarkEnd w:id="168"/>
    </w:p>
    <w:p w14:paraId="38985AD9">
      <w:pPr>
        <w:pStyle w:val="22"/>
        <w:numPr>
          <w:ilvl w:val="0"/>
          <w:numId w:val="1"/>
        </w:numPr>
        <w:wordWrap w:val="0"/>
        <w:topLinePunct/>
        <w:ind w:left="442" w:hanging="442" w:firstLineChars="0"/>
        <w:rPr>
          <w:rFonts w:eastAsia="黑体"/>
          <w:sz w:val="28"/>
          <w:szCs w:val="28"/>
        </w:rPr>
        <w:sectPr>
          <w:pgSz w:w="11906" w:h="16838"/>
          <w:pgMar w:top="1440" w:right="1800" w:bottom="1440" w:left="1800" w:header="851" w:footer="992" w:gutter="0"/>
          <w:cols w:space="425" w:num="1"/>
          <w:docGrid w:type="lines" w:linePitch="312" w:charSpace="0"/>
        </w:sectPr>
      </w:pPr>
      <w:bookmarkStart w:id="169" w:name="_Ref18425"/>
      <w:r>
        <w:t>Fawzy A M, Bisson A, Bodin A, et al. Atrial fibrillation and the risk of ventricular arrhythmias and cardiac arrest: a nationwide population-based study[J]. Journal of Clinical Medicine, 2023, 12(3): 1075</w:t>
      </w:r>
      <w:bookmarkEnd w:id="169"/>
    </w:p>
    <w:p w14:paraId="6A345FFA">
      <w:pPr>
        <w:ind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方正小标宋简体">
    <w:altName w:val="方正舒体"/>
    <w:panose1 w:val="0201060103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方正小标宋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4B2EA">
    <w:pPr>
      <w:pStyle w:val="10"/>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E8B25">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44EE8B25">
                    <w:pPr>
                      <w:pStyle w:val="10"/>
                      <w:ind w:firstLine="36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9CA2D">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244DA">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93945">
    <w:pPr>
      <w:pStyle w:val="10"/>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B4AE3">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64FB4AE3">
                    <w:pPr>
                      <w:pStyle w:val="10"/>
                      <w:ind w:firstLine="360"/>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B75AD">
    <w:pPr>
      <w:pStyle w:val="10"/>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BEC519">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0DBEC519">
                    <w:pPr>
                      <w:pStyle w:val="10"/>
                      <w:ind w:firstLine="360"/>
                    </w:pPr>
                  </w:p>
                </w:txbxContent>
              </v:textbox>
            </v:shape>
          </w:pict>
        </mc:Fallback>
      </mc:AlternateContent>
    </w:r>
    <w:r>
      <w:rPr>
        <w:rFonts w:hint="eastAsia"/>
        <w:lang w:eastAsia="zh-CN"/>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4DE81">
    <w:pPr>
      <w:pStyle w:val="10"/>
      <w:tabs>
        <w:tab w:val="clear" w:pos="8306"/>
      </w:tabs>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D86B89">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38D86B89">
                    <w:pPr>
                      <w:pStyle w:val="10"/>
                      <w:ind w:firstLine="360"/>
                    </w:pPr>
                  </w:p>
                </w:txbxContent>
              </v:textbox>
            </v:shape>
          </w:pict>
        </mc:Fallback>
      </mc:AlternateContent>
    </w:r>
    <w:r>
      <w:rPr>
        <w:rFonts w:hint="eastAsia"/>
        <w:lang w:eastAsia="zh-CN"/>
      </w:rPr>
      <w:tab/>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196C4">
    <w:pPr>
      <w:pStyle w:val="10"/>
      <w:tabs>
        <w:tab w:val="clear" w:pos="8306"/>
      </w:tabs>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54521A">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5954521A">
                    <w:pPr>
                      <w:pStyle w:val="10"/>
                      <w:ind w:firstLine="360"/>
                    </w:pPr>
                  </w:p>
                </w:txbxContent>
              </v:textbox>
            </v:shape>
          </w:pict>
        </mc:Fallback>
      </mc:AlternateContent>
    </w:r>
    <w:r>
      <w:rPr>
        <w:rFonts w:hint="eastAsia"/>
        <w:lang w:eastAsia="zh-CN"/>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69233">
    <w:pPr>
      <w:pStyle w:val="10"/>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32E624">
                          <w:pPr>
                            <w:pStyle w:val="10"/>
                            <w:ind w:firstLine="400"/>
                            <w:rPr>
                              <w:sz w:val="20"/>
                              <w:szCs w:val="24"/>
                            </w:rPr>
                          </w:pPr>
                          <w:r>
                            <w:rPr>
                              <w:sz w:val="20"/>
                              <w:szCs w:val="24"/>
                            </w:rPr>
                            <w:t xml:space="preserve">第 </w:t>
                          </w:r>
                          <w:r>
                            <w:rPr>
                              <w:sz w:val="20"/>
                              <w:szCs w:val="24"/>
                            </w:rPr>
                            <w:fldChar w:fldCharType="begin"/>
                          </w:r>
                          <w:r>
                            <w:rPr>
                              <w:sz w:val="20"/>
                              <w:szCs w:val="24"/>
                            </w:rPr>
                            <w:instrText xml:space="preserve"> PAGE  \* MERGEFORMAT </w:instrText>
                          </w:r>
                          <w:r>
                            <w:rPr>
                              <w:sz w:val="20"/>
                              <w:szCs w:val="24"/>
                            </w:rPr>
                            <w:fldChar w:fldCharType="separate"/>
                          </w:r>
                          <w:r>
                            <w:rPr>
                              <w:sz w:val="20"/>
                              <w:szCs w:val="24"/>
                            </w:rPr>
                            <w:t>IV</w:t>
                          </w:r>
                          <w:r>
                            <w:rPr>
                              <w:sz w:val="20"/>
                              <w:szCs w:val="24"/>
                            </w:rPr>
                            <w:fldChar w:fldCharType="end"/>
                          </w:r>
                          <w:r>
                            <w:rPr>
                              <w:sz w:val="20"/>
                              <w:szCs w:val="24"/>
                            </w:rPr>
                            <w:t xml:space="preserve"> 页 共 </w:t>
                          </w:r>
                          <w:r>
                            <w:rPr>
                              <w:rFonts w:hint="eastAsia"/>
                              <w:sz w:val="20"/>
                              <w:szCs w:val="24"/>
                              <w:lang w:val="en-US" w:eastAsia="zh-CN"/>
                            </w:rPr>
                            <w:t>41</w:t>
                          </w:r>
                          <w:r>
                            <w:rPr>
                              <w:sz w:val="20"/>
                              <w:szCs w:val="24"/>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2532E624">
                    <w:pPr>
                      <w:pStyle w:val="10"/>
                      <w:ind w:firstLine="400"/>
                      <w:rPr>
                        <w:sz w:val="20"/>
                        <w:szCs w:val="24"/>
                      </w:rPr>
                    </w:pPr>
                    <w:r>
                      <w:rPr>
                        <w:sz w:val="20"/>
                        <w:szCs w:val="24"/>
                      </w:rPr>
                      <w:t xml:space="preserve">第 </w:t>
                    </w:r>
                    <w:r>
                      <w:rPr>
                        <w:sz w:val="20"/>
                        <w:szCs w:val="24"/>
                      </w:rPr>
                      <w:fldChar w:fldCharType="begin"/>
                    </w:r>
                    <w:r>
                      <w:rPr>
                        <w:sz w:val="20"/>
                        <w:szCs w:val="24"/>
                      </w:rPr>
                      <w:instrText xml:space="preserve"> PAGE  \* MERGEFORMAT </w:instrText>
                    </w:r>
                    <w:r>
                      <w:rPr>
                        <w:sz w:val="20"/>
                        <w:szCs w:val="24"/>
                      </w:rPr>
                      <w:fldChar w:fldCharType="separate"/>
                    </w:r>
                    <w:r>
                      <w:rPr>
                        <w:sz w:val="20"/>
                        <w:szCs w:val="24"/>
                      </w:rPr>
                      <w:t>IV</w:t>
                    </w:r>
                    <w:r>
                      <w:rPr>
                        <w:sz w:val="20"/>
                        <w:szCs w:val="24"/>
                      </w:rPr>
                      <w:fldChar w:fldCharType="end"/>
                    </w:r>
                    <w:r>
                      <w:rPr>
                        <w:sz w:val="20"/>
                        <w:szCs w:val="24"/>
                      </w:rPr>
                      <w:t xml:space="preserve"> 页 共 </w:t>
                    </w:r>
                    <w:r>
                      <w:rPr>
                        <w:rFonts w:hint="eastAsia"/>
                        <w:sz w:val="20"/>
                        <w:szCs w:val="24"/>
                        <w:lang w:val="en-US" w:eastAsia="zh-CN"/>
                      </w:rPr>
                      <w:t>41</w:t>
                    </w:r>
                    <w:r>
                      <w:rPr>
                        <w:sz w:val="20"/>
                        <w:szCs w:val="24"/>
                      </w:rPr>
                      <w:t xml:space="preserve"> 页</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2577EE">
                          <w:pPr>
                            <w:pStyle w:val="10"/>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072577EE">
                    <w:pPr>
                      <w:pStyle w:val="10"/>
                      <w:ind w:firstLine="36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80FE6">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EC1A">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F1FC">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7E6164"/>
    <w:multiLevelType w:val="multilevel"/>
    <w:tmpl w:val="707E6164"/>
    <w:lvl w:ilvl="0" w:tentative="0">
      <w:start w:val="1"/>
      <w:numFmt w:val="decimal"/>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D85"/>
    <w:rsid w:val="00021CBE"/>
    <w:rsid w:val="000D6748"/>
    <w:rsid w:val="000F5F9F"/>
    <w:rsid w:val="00104B0F"/>
    <w:rsid w:val="00105D60"/>
    <w:rsid w:val="00106497"/>
    <w:rsid w:val="00110A25"/>
    <w:rsid w:val="00126839"/>
    <w:rsid w:val="00143BEE"/>
    <w:rsid w:val="001754F6"/>
    <w:rsid w:val="001A18B3"/>
    <w:rsid w:val="0024613C"/>
    <w:rsid w:val="00294631"/>
    <w:rsid w:val="003270D3"/>
    <w:rsid w:val="0034161D"/>
    <w:rsid w:val="00385F8E"/>
    <w:rsid w:val="00394EF7"/>
    <w:rsid w:val="003B7D51"/>
    <w:rsid w:val="003F79BD"/>
    <w:rsid w:val="004138EB"/>
    <w:rsid w:val="0042688C"/>
    <w:rsid w:val="00434138"/>
    <w:rsid w:val="00463685"/>
    <w:rsid w:val="00465ED3"/>
    <w:rsid w:val="0046620B"/>
    <w:rsid w:val="00467612"/>
    <w:rsid w:val="004745FF"/>
    <w:rsid w:val="004B4840"/>
    <w:rsid w:val="004D11D3"/>
    <w:rsid w:val="004E3C0A"/>
    <w:rsid w:val="00527156"/>
    <w:rsid w:val="005468E4"/>
    <w:rsid w:val="005703BE"/>
    <w:rsid w:val="005877CB"/>
    <w:rsid w:val="005A2ACB"/>
    <w:rsid w:val="005B18E1"/>
    <w:rsid w:val="005D4228"/>
    <w:rsid w:val="00602886"/>
    <w:rsid w:val="006419E2"/>
    <w:rsid w:val="006B04F7"/>
    <w:rsid w:val="006C19B7"/>
    <w:rsid w:val="006C3FA6"/>
    <w:rsid w:val="006D00AE"/>
    <w:rsid w:val="006D5F71"/>
    <w:rsid w:val="006E2A17"/>
    <w:rsid w:val="006F7695"/>
    <w:rsid w:val="00717D6B"/>
    <w:rsid w:val="0079093D"/>
    <w:rsid w:val="00803EAE"/>
    <w:rsid w:val="008A02C0"/>
    <w:rsid w:val="008B1E04"/>
    <w:rsid w:val="008E043B"/>
    <w:rsid w:val="00935C34"/>
    <w:rsid w:val="00944D6B"/>
    <w:rsid w:val="00945FAF"/>
    <w:rsid w:val="00955A68"/>
    <w:rsid w:val="00967354"/>
    <w:rsid w:val="009C2267"/>
    <w:rsid w:val="009E1624"/>
    <w:rsid w:val="009E6C67"/>
    <w:rsid w:val="00A12B55"/>
    <w:rsid w:val="00A13C74"/>
    <w:rsid w:val="00A36ADE"/>
    <w:rsid w:val="00A82BFB"/>
    <w:rsid w:val="00AA3273"/>
    <w:rsid w:val="00AD1910"/>
    <w:rsid w:val="00B06C01"/>
    <w:rsid w:val="00B379CE"/>
    <w:rsid w:val="00B533B9"/>
    <w:rsid w:val="00B847E0"/>
    <w:rsid w:val="00B90AEC"/>
    <w:rsid w:val="00BA3BA7"/>
    <w:rsid w:val="00BA51EB"/>
    <w:rsid w:val="00BA5E68"/>
    <w:rsid w:val="00BA6082"/>
    <w:rsid w:val="00BB550B"/>
    <w:rsid w:val="00BE46EA"/>
    <w:rsid w:val="00BE4D85"/>
    <w:rsid w:val="00BE5928"/>
    <w:rsid w:val="00C8069F"/>
    <w:rsid w:val="00CE230F"/>
    <w:rsid w:val="00D41212"/>
    <w:rsid w:val="00D4286A"/>
    <w:rsid w:val="00D51169"/>
    <w:rsid w:val="00D71C19"/>
    <w:rsid w:val="00DF068A"/>
    <w:rsid w:val="00E07F83"/>
    <w:rsid w:val="00E32C1B"/>
    <w:rsid w:val="00E66638"/>
    <w:rsid w:val="00E8160A"/>
    <w:rsid w:val="00EA7F53"/>
    <w:rsid w:val="00EB35BA"/>
    <w:rsid w:val="00EB522A"/>
    <w:rsid w:val="00F51D73"/>
    <w:rsid w:val="00F86848"/>
    <w:rsid w:val="00FB06BD"/>
    <w:rsid w:val="025008C3"/>
    <w:rsid w:val="05927D67"/>
    <w:rsid w:val="06D35E41"/>
    <w:rsid w:val="074B3407"/>
    <w:rsid w:val="07E0425F"/>
    <w:rsid w:val="097E0B11"/>
    <w:rsid w:val="0ABE4A13"/>
    <w:rsid w:val="0B044923"/>
    <w:rsid w:val="0C5A3BCF"/>
    <w:rsid w:val="0DD01CD0"/>
    <w:rsid w:val="12223606"/>
    <w:rsid w:val="140908D1"/>
    <w:rsid w:val="153458BF"/>
    <w:rsid w:val="18B74DA0"/>
    <w:rsid w:val="1C246E2F"/>
    <w:rsid w:val="1C2546CD"/>
    <w:rsid w:val="1CAD6B57"/>
    <w:rsid w:val="1D316148"/>
    <w:rsid w:val="2015489B"/>
    <w:rsid w:val="208E6615"/>
    <w:rsid w:val="23BA204A"/>
    <w:rsid w:val="298A2D7A"/>
    <w:rsid w:val="2CFF2ACE"/>
    <w:rsid w:val="2FB4407E"/>
    <w:rsid w:val="330A6264"/>
    <w:rsid w:val="3423218B"/>
    <w:rsid w:val="34DF500B"/>
    <w:rsid w:val="34FF6629"/>
    <w:rsid w:val="36F8683E"/>
    <w:rsid w:val="372C6596"/>
    <w:rsid w:val="39A71E6F"/>
    <w:rsid w:val="3B1155EE"/>
    <w:rsid w:val="3E1241B1"/>
    <w:rsid w:val="43D4769D"/>
    <w:rsid w:val="45734F7D"/>
    <w:rsid w:val="47145BC5"/>
    <w:rsid w:val="473C7430"/>
    <w:rsid w:val="4AE44CD1"/>
    <w:rsid w:val="4B745B75"/>
    <w:rsid w:val="4C15710C"/>
    <w:rsid w:val="4C276F59"/>
    <w:rsid w:val="4FAE354A"/>
    <w:rsid w:val="50E377D9"/>
    <w:rsid w:val="50F61095"/>
    <w:rsid w:val="544E247A"/>
    <w:rsid w:val="55A87B56"/>
    <w:rsid w:val="56DC73C0"/>
    <w:rsid w:val="57201009"/>
    <w:rsid w:val="57376AD1"/>
    <w:rsid w:val="5A673736"/>
    <w:rsid w:val="5E6F0397"/>
    <w:rsid w:val="5E964AE9"/>
    <w:rsid w:val="604F566E"/>
    <w:rsid w:val="61235CD0"/>
    <w:rsid w:val="64BC76A8"/>
    <w:rsid w:val="650224CC"/>
    <w:rsid w:val="68A512BF"/>
    <w:rsid w:val="698B6575"/>
    <w:rsid w:val="6CF2228A"/>
    <w:rsid w:val="6F4E4729"/>
    <w:rsid w:val="71436346"/>
    <w:rsid w:val="714D5579"/>
    <w:rsid w:val="71DB2D5E"/>
    <w:rsid w:val="76F529DF"/>
    <w:rsid w:val="77A61AB4"/>
    <w:rsid w:val="79201022"/>
    <w:rsid w:val="79E75C8D"/>
    <w:rsid w:val="7AE30313"/>
    <w:rsid w:val="7BA91DB4"/>
    <w:rsid w:val="7BEB46DA"/>
    <w:rsid w:val="7DD84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qFormat/>
    <w:uiPriority w:val="9"/>
    <w:pPr>
      <w:ind w:firstLine="0" w:firstLineChars="0"/>
      <w:outlineLvl w:val="0"/>
    </w:pPr>
    <w:rPr>
      <w:rFonts w:eastAsia="黑体"/>
      <w:sz w:val="30"/>
      <w:szCs w:val="48"/>
    </w:rPr>
  </w:style>
  <w:style w:type="paragraph" w:styleId="3">
    <w:name w:val="heading 2"/>
    <w:basedOn w:val="1"/>
    <w:next w:val="1"/>
    <w:unhideWhenUsed/>
    <w:qFormat/>
    <w:uiPriority w:val="9"/>
    <w:pPr>
      <w:outlineLvl w:val="1"/>
    </w:pPr>
    <w:rPr>
      <w:rFonts w:eastAsia="楷体" w:cs="Times New Roman"/>
      <w:sz w:val="28"/>
      <w:szCs w:val="32"/>
    </w:rPr>
  </w:style>
  <w:style w:type="paragraph" w:styleId="4">
    <w:name w:val="heading 3"/>
    <w:basedOn w:val="1"/>
    <w:next w:val="1"/>
    <w:unhideWhenUsed/>
    <w:qFormat/>
    <w:uiPriority w:val="9"/>
    <w:pPr>
      <w:outlineLvl w:val="2"/>
    </w:pPr>
    <w:rPr>
      <w:rFonts w:ascii="黑体" w:hAnsi="黑体" w:cs="Times New Roman"/>
      <w:b/>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unhideWhenUsed/>
    <w:qFormat/>
    <w:uiPriority w:val="35"/>
    <w:pPr>
      <w:jc w:val="center"/>
    </w:pPr>
    <w:rPr>
      <w:rFonts w:cstheme="majorBidi"/>
      <w:szCs w:val="20"/>
      <w14:ligatures w14:val="standardContextual"/>
    </w:rPr>
  </w:style>
  <w:style w:type="paragraph" w:styleId="6">
    <w:name w:val="annotation text"/>
    <w:basedOn w:val="1"/>
    <w:qFormat/>
    <w:uiPriority w:val="0"/>
    <w:pPr>
      <w:jc w:val="left"/>
    </w:pPr>
  </w:style>
  <w:style w:type="paragraph" w:styleId="7">
    <w:name w:val="Body Text"/>
    <w:basedOn w:val="8"/>
    <w:unhideWhenUsed/>
    <w:qFormat/>
    <w:uiPriority w:val="99"/>
    <w:pPr>
      <w:spacing w:after="120"/>
    </w:pPr>
  </w:style>
  <w:style w:type="paragraph" w:customStyle="1" w:styleId="8">
    <w:name w:val="First Paragraph"/>
    <w:basedOn w:val="1"/>
    <w:next w:val="7"/>
    <w:qFormat/>
    <w:uiPriority w:val="0"/>
    <w:pPr>
      <w:spacing w:before="180"/>
      <w:ind w:firstLine="480"/>
    </w:pPr>
    <w:rPr>
      <w:rFonts w:eastAsia="Cambria Math"/>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2">
    <w:name w:val="toc 1"/>
    <w:basedOn w:val="1"/>
    <w:next w:val="1"/>
    <w:qFormat/>
    <w:uiPriority w:val="0"/>
  </w:style>
  <w:style w:type="paragraph" w:styleId="13">
    <w:name w:val="table of figures"/>
    <w:basedOn w:val="1"/>
    <w:next w:val="1"/>
    <w:qFormat/>
    <w:uiPriority w:val="0"/>
    <w:pPr>
      <w:ind w:left="200" w:leftChars="200" w:hanging="200" w:hangingChars="200"/>
    </w:pPr>
  </w:style>
  <w:style w:type="paragraph" w:styleId="14">
    <w:name w:val="toc 2"/>
    <w:basedOn w:val="1"/>
    <w:next w:val="1"/>
    <w:qFormat/>
    <w:uiPriority w:val="0"/>
    <w:pPr>
      <w:ind w:left="420" w:leftChars="200"/>
    </w:pPr>
  </w:style>
  <w:style w:type="paragraph" w:styleId="15">
    <w:name w:val="Normal (Web)"/>
    <w:basedOn w:val="1"/>
    <w:qFormat/>
    <w:uiPriority w:val="0"/>
    <w:pPr>
      <w:spacing w:beforeAutospacing="1" w:afterAutospacing="1"/>
      <w:jc w:val="left"/>
    </w:pPr>
    <w:rPr>
      <w:rFonts w:cs="Times New Roman"/>
      <w:kern w:val="0"/>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annotation reference"/>
    <w:basedOn w:val="18"/>
    <w:qFormat/>
    <w:uiPriority w:val="0"/>
    <w:rPr>
      <w:sz w:val="21"/>
      <w:szCs w:val="21"/>
    </w:rPr>
  </w:style>
  <w:style w:type="paragraph" w:customStyle="1" w:styleId="21">
    <w:name w:val="Compact"/>
    <w:basedOn w:val="7"/>
    <w:qFormat/>
    <w:uiPriority w:val="0"/>
    <w:pPr>
      <w:spacing w:before="60" w:after="60"/>
      <w:ind w:firstLine="0" w:firstLineChars="0"/>
    </w:pPr>
  </w:style>
  <w:style w:type="paragraph" w:styleId="22">
    <w:name w:val="List Paragraph"/>
    <w:basedOn w:val="1"/>
    <w:qFormat/>
    <w:uiPriority w:val="34"/>
    <w:pPr>
      <w:ind w:left="720"/>
      <w:contextualSpacing/>
    </w:pPr>
  </w:style>
  <w:style w:type="paragraph" w:customStyle="1" w:styleId="23">
    <w:name w:val="TOC 标题1"/>
    <w:basedOn w:val="2"/>
    <w:next w:val="1"/>
    <w:unhideWhenUsed/>
    <w:qFormat/>
    <w:uiPriority w:val="39"/>
    <w:pPr>
      <w:widowControl/>
      <w:spacing w:before="240" w:line="259" w:lineRule="auto"/>
      <w:outlineLvl w:val="9"/>
    </w:pPr>
    <w:rPr>
      <w:rFonts w:eastAsiaTheme="majorEastAsia"/>
      <w:b/>
      <w:color w:val="2E54A1" w:themeColor="accent1" w:themeShade="BF"/>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sv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jpeg"/><Relationship Id="rId2" Type="http://schemas.openxmlformats.org/officeDocument/2006/relationships/settings" Target="settings.xml"/><Relationship Id="rId19" Type="http://schemas.openxmlformats.org/officeDocument/2006/relationships/image" Target="media/image3.jpeg"/><Relationship Id="rId18" Type="http://schemas.openxmlformats.org/officeDocument/2006/relationships/image" Target="media/image2.sv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41</Pages>
  <Words>6750</Words>
  <Characters>7819</Characters>
  <Lines>143</Lines>
  <Paragraphs>74</Paragraphs>
  <TotalTime>10</TotalTime>
  <ScaleCrop>false</ScaleCrop>
  <LinksUpToDate>false</LinksUpToDate>
  <CharactersWithSpaces>8030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2026-05-21T04:28:00Z</dcterms:created>
  <dc:creator>16960</dc:creator>
  <cp:lastModifiedBy>灿烂的阳光</cp:lastModifiedBy>
  <cp:lastPrinted>2026-05-08T12:44:00Z</cp:lastPrinted>
  <dcterms:modified xsi:type="dcterms:W3CDTF">2026-06-30T01:36:47Z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eyJoZGlkIjoiMDg1ZWE4NmI4N2E3YThhYjNiNjZlNGUwZDk0ZTI3MzciLCJ1c2VySWQiOiIxMDM5NzE4MjkyIn0=</vt:lpwstr>
  </property>
  <property fmtid="{D5CDD505-2E9C-101B-9397-08002B2CF9AE}" pid="4" name="ICV">
    <vt:lpwstr>B5EEFCA43F274D259B9C11AD57CD091E_13</vt:lpwstr>
  </property>
</Properties>
</file>