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rPr>
          <w:cs/>
          <w:lang w:val="en-US" w:bidi="th-TH"/>
        </w:rPr>
        <w:fldChar w:fldCharType="begin"/>
      </w:r>
      <w:r>
        <w:rPr>
          <w:cs/>
          <w:lang w:val="en-US" w:bidi="th-TH"/>
        </w:rPr>
        <w:instrText xml:space="preserve"> TOC \o "1-3" \h \z \u </w:instrText>
      </w:r>
      <w:r>
        <w:rPr>
          <w:cs/>
          <w:lang w:val="en-US" w:bidi="th-TH"/>
        </w:rPr>
        <w:fldChar w:fldCharType="separate"/>
      </w:r>
      <w:r>
        <w:rPr>
          <w:cs/>
          <w:lang w:val="en-US" w:bidi="th-TH"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  <w:lang w:val="en-US" w:bidi="th-TH"/>
        </w:rPr>
        <w:t xml:space="preserve">รายการ</w:t>
      </w:r>
    </w:p>
    <w:p>
      <w:pPr>
        <w:pStyle w:val="TOC3"/>
      </w:pPr>
      <w:r>
        <w:rPr>
          <w:cs/>
          <w:lang w:val="en-US" w:bidi="th-TH"/>
        </w:rPr>
        <w:t xml:space="preserve">ตาราง</w:t>
      </w:r>
    </w:p>
    <w:p>
      <w:pPr>
        <w:pStyle w:val="TOC2"/>
        <w:jc w:val="left"/>
      </w:pPr>
      <w:r>
        <w:rPr>
          <w:cs/>
          <w:lang w:val="en-US" w:bidi="th-TH"/>
        </w:rPr>
        <w:t xml:space="preserve">Setext heading</w:t>
      </w:r>
      <w:r>
        <w:rPr>
          <w:cs/>
          <w:lang w:val="en-US" w:bidi="th-TH"/>
        </w:rPr>
        <w:fldChar w:fldCharType="end"/>
      </w:r>
    </w:p>
    <w:p>
      <w:pPr/>
    </w:p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☐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☑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  <w:jc w:val="left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  <w:jc w:val="left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