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200"/>
        <w:jc w:val="left"/>
      </w:pPr>
      <w:r>
        <w:rPr>
          <w:rFonts w:ascii="Calibri" w:cs="Calibri" w:eastAsia="Calibri" w:hAnsi="Calibri"/>
          <w:b/>
          <w:bCs/>
          <w:color w:val="1E3A5F"/>
          <w:sz w:val="64"/>
          <w:szCs w:val="64"/>
        </w:rPr>
        <w:t xml:space="preserve">AI Boom vs Data Center Sustainability</w:t>
      </w:r>
    </w:p>
    <w:p>
      <w:pPr>
        <w:spacing w:before="0" w:after="320"/>
        <w:jc w:val="left"/>
      </w:pPr>
      <w:r>
        <w:rPr>
          <w:rFonts w:ascii="Calibri" w:cs="Calibri" w:eastAsia="Calibri" w:hAnsi="Calibri"/>
          <w:b w:val="false"/>
          <w:bCs w:val="false"/>
          <w:color w:val="0891B2"/>
          <w:sz w:val="36"/>
          <w:szCs w:val="36"/>
        </w:rPr>
        <w:t xml:space="preserve">A Data-Driven Analysis</w:t>
      </w:r>
    </w:p>
    <w:p>
      <w:pPr>
        <w:pBdr>
          <w:bottom w:val="single" w:color="1E3A5F" w:sz="6" w:space="1"/>
        </w:pBdr>
        <w:spacing w:before="240" w:after="240"/>
      </w:pPr>
      <w:r>
        <w:t xml:space="preserve"/>
      </w:r>
    </w:p>
    <w:p>
      <w:pPr>
        <w:spacing w:before="0" w:after="120"/>
      </w:pPr>
      <w:r>
        <w:t xml:space="preserve"/>
      </w:r>
    </w:p>
    <w:p>
      <w:pPr>
        <w:spacing w:before="0" w:after="180" w:line="288"/>
        <w:jc w:val="left"/>
      </w:pPr>
      <w:r>
        <w:rPr>
          <w:rFonts w:ascii="Calibri" w:cs="Calibri" w:eastAsia="Calibri" w:hAnsi="Calibri"/>
          <w:color w:val="475569"/>
          <w:sz w:val="24"/>
          <w:szCs w:val="24"/>
        </w:rPr>
        <w:t xml:space="preserve">Combining Machine Learning &amp; Business Consulting to understand the AI infrastructure surge and its implications for global sustainability commitments.</w:t>
      </w:r>
    </w:p>
    <w:p>
      <w:pPr>
        <w:spacing w:before="0" w:after="240"/>
      </w:pPr>
      <w:r>
        <w:t xml:space="preserve"/>
      </w:r>
    </w:p>
    <w:p>
      <w:pPr>
        <w:spacing w:before="0" w:after="180" w:line="288"/>
        <w:jc w:val="left"/>
      </w:pPr>
      <w:r>
        <w:rPr>
          <w:rFonts w:ascii="Calibri" w:cs="Calibri" w:eastAsia="Calibri" w:hAnsi="Calibri"/>
          <w:color w:val="64748B"/>
          <w:sz w:val="20"/>
          <w:szCs w:val="20"/>
        </w:rPr>
        <w:t xml:space="preserve">March 2026  |  Confidential</w:t>
      </w:r>
    </w:p>
    <w:p>
      <w:pPr>
        <w:spacing w:before="0" w:after="0"/>
      </w:pPr>
      <w:r>
        <w:br w:type="page"/>
      </w:r>
    </w:p>
    <w:p>
      <w:pPr>
        <w:pStyle w:val="Heading1"/>
        <w:pBdr>
          <w:bottom w:val="single" w:color="1E3A5F" w:sz="4" w:space="4"/>
        </w:pBdr>
        <w:spacing w:before="480" w:after="200"/>
      </w:pPr>
      <w:r>
        <w:rPr>
          <w:rFonts w:ascii="Calibri" w:cs="Calibri" w:eastAsia="Calibri" w:hAnsi="Calibri"/>
          <w:b/>
          <w:bCs/>
          <w:color w:val="1E3A5F"/>
          <w:sz w:val="36"/>
          <w:szCs w:val="3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1D4ED8" w:sz="18"/>
              <w:bottom w:val="single" w:color="E2E8F0" w:sz="1"/>
              <w:right w:val="single" w:color="E2E8F0" w:sz="1"/>
            </w:tcBorders>
            <w:shd w:fill="DBEAFE" w:val="clear"/>
            <w:tcMar>
              <w:top w:type="dxa" w:w="140"/>
              <w:left w:type="dxa" w:w="220"/>
              <w:bottom w:type="dxa" w:w="140"/>
              <w:right w:type="dxa" w:w="220"/>
            </w:tcMar>
          </w:tcPr>
          <w:p>
            <w:pPr>
              <w:spacing w:before="0" w:after="80"/>
            </w:pPr>
            <w:r>
              <w:rPr>
                <w:rFonts w:ascii="Calibri" w:cs="Calibri" w:eastAsia="Calibri" w:hAnsi="Calibri"/>
                <w:b/>
                <w:bCs/>
                <w:color w:val="1D4ED8"/>
                <w:sz w:val="20"/>
                <w:szCs w:val="20"/>
              </w:rPr>
              <w:t xml:space="preserve">THE CENTRAL THESIS</w:t>
            </w:r>
          </w:p>
          <w:p>
            <w:pPr>
              <w:spacing w:before="0" w:after="0"/>
            </w:pPr>
            <w:r>
              <w:rPr>
                <w:rFonts w:ascii="Calibri" w:cs="Calibri" w:eastAsia="Calibri" w:hAnsi="Calibri"/>
                <w:color w:val="0F172A"/>
                <w:sz w:val="20"/>
                <w:szCs w:val="20"/>
              </w:rPr>
              <w:t xml:space="preserve">The AI boom is driving an unprecedented surge in global data center energy consumption — but the industry's sustainability commitments are failing to keep pace. This analysis quantifies exactly how large that gap is, who is responsible, and what it will cost if nothing changes.</w:t>
            </w:r>
          </w:p>
        </w:tc>
      </w:tr>
    </w:tbl>
    <w:p>
      <w:pPr>
        <w:spacing w:before="0" w:after="120"/>
      </w:pPr>
      <w:r>
        <w:t xml:space="preserve"/>
      </w:r>
    </w:p>
    <w:p>
      <w:pPr>
        <w:pStyle w:val="Heading2"/>
        <w:spacing w:before="360" w:after="160"/>
      </w:pPr>
      <w:r>
        <w:rPr>
          <w:rFonts w:ascii="Calibri" w:cs="Calibri" w:eastAsia="Calibri" w:hAnsi="Calibri"/>
          <w:b/>
          <w:bCs/>
          <w:color w:val="1D4ED8"/>
          <w:sz w:val="28"/>
          <w:szCs w:val="28"/>
        </w:rPr>
        <w:t xml:space="preserve">Three Acts, Three Findings</w:t>
      </w:r>
    </w:p>
    <w:p>
      <w:pPr>
        <w:spacing w:before="0" w:after="180" w:line="288"/>
        <w:jc w:val="left"/>
      </w:pPr>
      <w:r>
        <w:rPr>
          <w:rFonts w:ascii="Calibri" w:cs="Calibri" w:eastAsia="Calibri" w:hAnsi="Calibri"/>
          <w:color w:val="0F172A"/>
          <w:sz w:val="22"/>
          <w:szCs w:val="22"/>
        </w:rPr>
        <w:t xml:space="preserve">This analysis is structured around three acts that together tell a complete story — from the scale of the boom, to the failure of sustainability commitments, to the decision point we now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1D4ED8" w:sz="18"/>
              <w:bottom w:val="single" w:color="E2E8F0" w:sz="1"/>
              <w:right w:val="single" w:color="E2E8F0" w:sz="1"/>
            </w:tcBorders>
            <w:shd w:fill="DBEAFE" w:val="clear"/>
            <w:tcMar>
              <w:top w:type="dxa" w:w="140"/>
              <w:left w:type="dxa" w:w="220"/>
              <w:bottom w:type="dxa" w:w="140"/>
              <w:right w:type="dxa" w:w="220"/>
            </w:tcMar>
          </w:tcPr>
          <w:p>
            <w:pPr>
              <w:spacing w:before="0" w:after="80"/>
            </w:pPr>
            <w:r>
              <w:rPr>
                <w:rFonts w:ascii="Calibri" w:cs="Calibri" w:eastAsia="Calibri" w:hAnsi="Calibri"/>
                <w:b/>
                <w:bCs/>
                <w:color w:val="1D4ED8"/>
                <w:sz w:val="20"/>
                <w:szCs w:val="20"/>
              </w:rPr>
              <w:t xml:space="preserve">ACT I — THE BOOM</w:t>
            </w:r>
          </w:p>
          <w:p>
            <w:pPr>
              <w:spacing w:before="0" w:after="0"/>
            </w:pPr>
            <w:r>
              <w:rPr>
                <w:rFonts w:ascii="Calibri" w:cs="Calibri" w:eastAsia="Calibri" w:hAnsi="Calibri"/>
                <w:color w:val="0F172A"/>
                <w:sz w:val="20"/>
                <w:szCs w:val="20"/>
              </w:rPr>
              <w:t xml:space="preserve">Global DC energy demand grew 114% from 2015 to 2024, accelerating from 3.0%/yr in the pre-AI era to 15.7%/yr by 2022–2024 — a fivefold acceleration. Every $1B in data center capital expenditure drives an additional 33.7 TWh of annual energy demand. The physical infrastructure of AI is being built faster than any sustainability framework can absorb.</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991B1B" w:sz="18"/>
              <w:bottom w:val="single" w:color="E2E8F0" w:sz="1"/>
              <w:right w:val="single" w:color="E2E8F0" w:sz="1"/>
            </w:tcBorders>
            <w:shd w:fill="FEE2E2" w:val="clear"/>
            <w:tcMar>
              <w:top w:type="dxa" w:w="140"/>
              <w:left w:type="dxa" w:w="220"/>
              <w:bottom w:type="dxa" w:w="140"/>
              <w:right w:type="dxa" w:w="220"/>
            </w:tcMar>
          </w:tcPr>
          <w:p>
            <w:pPr>
              <w:spacing w:before="0" w:after="80"/>
            </w:pPr>
            <w:r>
              <w:rPr>
                <w:rFonts w:ascii="Calibri" w:cs="Calibri" w:eastAsia="Calibri" w:hAnsi="Calibri"/>
                <w:b/>
                <w:bCs/>
                <w:color w:val="991B1B"/>
                <w:sz w:val="20"/>
                <w:szCs w:val="20"/>
              </w:rPr>
              <w:t xml:space="preserve">ACT II — THE RECKONING</w:t>
            </w:r>
          </w:p>
          <w:p>
            <w:pPr>
              <w:spacing w:before="0" w:after="0"/>
            </w:pPr>
            <w:r>
              <w:rPr>
                <w:rFonts w:ascii="Calibri" w:cs="Calibri" w:eastAsia="Calibri" w:hAnsi="Calibri"/>
                <w:color w:val="0F172A"/>
                <w:sz w:val="20"/>
                <w:szCs w:val="20"/>
              </w:rPr>
              <w:t xml:space="preserve">67% of all hyperscaler company-year observations fall in the Laggard sustainability tier. All four major hyperscalers converged to a sustainability score of 2/5 by 2024 — despite all claiming 100% renewable energy. Combined indirect emissions rose 150% from 2020 to 2023. The convergence is systemic, not company-specific: the AI boom created an energy demand shock that no pre-2022 sustainability commitment was designed to absorb.</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065F46" w:sz="18"/>
              <w:bottom w:val="single" w:color="E2E8F0" w:sz="1"/>
              <w:right w:val="single" w:color="E2E8F0" w:sz="1"/>
            </w:tcBorders>
            <w:shd w:fill="D1FAE5" w:val="clear"/>
            <w:tcMar>
              <w:top w:type="dxa" w:w="140"/>
              <w:left w:type="dxa" w:w="220"/>
              <w:bottom w:type="dxa" w:w="140"/>
              <w:right w:type="dxa" w:w="220"/>
            </w:tcMar>
          </w:tcPr>
          <w:p>
            <w:pPr>
              <w:spacing w:before="0" w:after="80"/>
            </w:pPr>
            <w:r>
              <w:rPr>
                <w:rFonts w:ascii="Calibri" w:cs="Calibri" w:eastAsia="Calibri" w:hAnsi="Calibri"/>
                <w:b/>
                <w:bCs/>
                <w:color w:val="065F46"/>
                <w:sz w:val="20"/>
                <w:szCs w:val="20"/>
              </w:rPr>
              <w:t xml:space="preserve">ACT III — THE DECISION POINT</w:t>
            </w:r>
          </w:p>
          <w:p>
            <w:pPr>
              <w:spacing w:before="0" w:after="0"/>
            </w:pPr>
            <w:r>
              <w:rPr>
                <w:rFonts w:ascii="Calibri" w:cs="Calibri" w:eastAsia="Calibri" w:hAnsi="Calibri"/>
                <w:color w:val="0F172A"/>
                <w:sz w:val="20"/>
                <w:szCs w:val="20"/>
              </w:rPr>
              <w:t xml:space="preserve">DC energy will reach 945–1,200 TWh by 2030. Clean energy procurement will fall 12 percentage points short of IEA net zero requirements. A $703B cumulative clean energy investment gap must be closed by 2030. A 70× carbon arbitrage opportunity exists today through location-aware workload placement. Five data-driven recommendations define exactly what must change.</w:t>
            </w:r>
          </w:p>
        </w:tc>
      </w:tr>
    </w:tbl>
    <w:p>
      <w:pPr>
        <w:spacing w:before="0" w:after="120"/>
      </w:pPr>
      <w:r>
        <w:t xml:space="preserve"/>
      </w:r>
    </w:p>
    <w:p>
      <w:pPr>
        <w:pStyle w:val="Heading2"/>
        <w:spacing w:before="360" w:after="160"/>
      </w:pPr>
      <w:r>
        <w:rPr>
          <w:rFonts w:ascii="Calibri" w:cs="Calibri" w:eastAsia="Calibri" w:hAnsi="Calibri"/>
          <w:b/>
          <w:bCs/>
          <w:color w:val="1D4ED8"/>
          <w:sz w:val="28"/>
          <w:szCs w:val="28"/>
        </w:rPr>
        <w:t xml:space="preserve">Five 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360"/>
        <w:gridCol w:w="2800"/>
        <w:gridCol w:w="2000"/>
        <w:gridCol w:w="4200"/>
      </w:tblGrid>
      <w:tr>
        <w:trPr>
          <w:tblHeader/>
        </w:trPr>
        <w:tc>
          <w:tcPr>
            <w:tcW w:type="dxa" w:w="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t>
            </w:r>
          </w:p>
        </w:tc>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Audience</w:t>
            </w:r>
          </w:p>
        </w:tc>
        <w:tc>
          <w:tcPr>
            <w:tcW w:type="dxa" w:w="4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Quantified Impact</w:t>
            </w:r>
          </w:p>
        </w:tc>
      </w:tr>
      <w:tr>
        <w:tc>
          <w:tcPr>
            <w:tcW w:type="dxa" w:w="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01</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Mandate 24/7 Carbon-Free Energy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Regulators</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Exposes 20–40%pt gap hidden by certificates</w:t>
            </w:r>
          </w:p>
        </w:tc>
      </w:tr>
      <w:tr>
        <w:tc>
          <w:tcPr>
            <w:tcW w:type="dxa" w:w="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02</w:t>
            </w:r>
          </w:p>
        </w:tc>
        <w:tc>
          <w:tcPr>
            <w:tcW w:type="dxa" w:w="2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Carbon-Aware DC Location Policy</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DC Operators</w:t>
            </w:r>
          </w:p>
        </w:tc>
        <w:tc>
          <w:tcPr>
            <w:tcW w:type="dxa" w:w="4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621 kt CO₂e saved per TWh — 135,000 cars</w:t>
            </w:r>
          </w:p>
        </w:tc>
      </w:tr>
      <w:tr>
        <w:tc>
          <w:tcPr>
            <w:tcW w:type="dxa" w:w="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03</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Inference Energy Disclosure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AI Companies</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40–60% emissions reduction via model selection</w:t>
            </w:r>
          </w:p>
        </w:tc>
      </w:tr>
      <w:tr>
        <w:tc>
          <w:tcPr>
            <w:tcW w:type="dxa" w:w="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04</w:t>
            </w:r>
          </w:p>
        </w:tc>
        <w:tc>
          <w:tcPr>
            <w:tcW w:type="dxa" w:w="2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Close the $703B Clean Energy Gap</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Investors</w:t>
            </w:r>
          </w:p>
        </w:tc>
        <w:tc>
          <w:tcPr>
            <w:tcW w:type="dxa" w:w="4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Prevents 200+ MtCO₂e avoidable by 2030</w:t>
            </w:r>
          </w:p>
        </w:tc>
      </w:tr>
      <w:tr>
        <w:tc>
          <w:tcPr>
            <w:tcW w:type="dxa" w:w="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05</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Mandate Scope 3 Disclosure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Boards / Regulators</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Exposes footprint 3–5× larger than Scope 1+2</w:t>
            </w:r>
          </w:p>
        </w:tc>
      </w:tr>
    </w:tbl>
    <w:p>
      <w:pPr>
        <w:spacing w:before="0" w:after="0"/>
      </w:pPr>
      <w:r>
        <w:br w:type="page"/>
      </w:r>
    </w:p>
    <w:p>
      <w:pPr>
        <w:pStyle w:val="Heading1"/>
        <w:pBdr>
          <w:bottom w:val="single" w:color="1E3A5F" w:sz="4" w:space="4"/>
        </w:pBdr>
        <w:spacing w:before="480" w:after="200"/>
      </w:pPr>
      <w:r>
        <w:rPr>
          <w:rFonts w:ascii="Calibri" w:cs="Calibri" w:eastAsia="Calibri" w:hAnsi="Calibri"/>
          <w:b/>
          <w:bCs/>
          <w:color w:val="1E3A5F"/>
          <w:sz w:val="36"/>
          <w:szCs w:val="36"/>
        </w:rPr>
        <w:t xml:space="preserve">1. Context &amp; Methodology</w:t>
      </w:r>
    </w:p>
    <w:p>
      <w:pPr>
        <w:pStyle w:val="Heading2"/>
        <w:spacing w:before="360" w:after="160"/>
      </w:pPr>
      <w:r>
        <w:rPr>
          <w:rFonts w:ascii="Calibri" w:cs="Calibri" w:eastAsia="Calibri" w:hAnsi="Calibri"/>
          <w:b/>
          <w:bCs/>
          <w:color w:val="1D4ED8"/>
          <w:sz w:val="28"/>
          <w:szCs w:val="28"/>
        </w:rPr>
        <w:t xml:space="preserve">1.1 Research Context</w:t>
      </w:r>
    </w:p>
    <w:p>
      <w:pPr>
        <w:spacing w:before="0" w:after="180" w:line="288"/>
        <w:jc w:val="left"/>
      </w:pPr>
      <w:r>
        <w:rPr>
          <w:rFonts w:ascii="Calibri" w:cs="Calibri" w:eastAsia="Calibri" w:hAnsi="Calibri"/>
          <w:color w:val="0F172A"/>
          <w:sz w:val="22"/>
          <w:szCs w:val="22"/>
        </w:rPr>
        <w:t xml:space="preserve">The global AI industry is experiencing a capital investment surge without precedent in the history of technology infrastructure. Between 2020 and 2024, the four largest hyperscale operators — Google, Microsoft, Amazon, and Meta — collectively increased their data center capital expenditure from approximately $47B to over $196B annually. This buildout is physically instantiated in 877 new hyperscale data centers constructed in nine years, with a further 770 facilities in the planning pipeline as of Q1 2025.</w:t>
      </w:r>
    </w:p>
    <w:p>
      <w:pPr>
        <w:spacing w:before="0" w:after="180" w:line="288"/>
        <w:jc w:val="left"/>
      </w:pPr>
      <w:r>
        <w:rPr>
          <w:rFonts w:ascii="Calibri" w:cs="Calibri" w:eastAsia="Calibri" w:hAnsi="Calibri"/>
          <w:color w:val="0F172A"/>
          <w:sz w:val="22"/>
          <w:szCs w:val="22"/>
        </w:rPr>
        <w:t xml:space="preserve">This investment surge has a direct and measurable consequence for global energy systems. Data center electricity consumption, which had grown modestly at 3–4% per year between 2015 and 2019, accelerated to 12.5% per year after 2019 and 15.7% per year after the ChatGPT launch in late 2022. By 2024, global data centers consumed an estimated 415 TWh of electricity — roughly 1.5% of global electricity consumption, and a figure that the IEA projects will reach 945 TWh under its Base Case scenario by 2030.</w:t>
      </w:r>
    </w:p>
    <w:p>
      <w:pPr>
        <w:spacing w:before="0" w:after="180" w:line="288"/>
        <w:jc w:val="left"/>
      </w:pPr>
      <w:r>
        <w:rPr>
          <w:rFonts w:ascii="Calibri" w:cs="Calibri" w:eastAsia="Calibri" w:hAnsi="Calibri"/>
          <w:color w:val="0F172A"/>
          <w:sz w:val="22"/>
          <w:szCs w:val="22"/>
        </w:rPr>
        <w:t xml:space="preserve">Against this backdrop, all four major hyperscalers have made public net-zero commitments and claim to operate on 100% renewable energy. This analysis examines the gap between those claims and the measurable outcomes — using machine learning to quantify relationships, forecast trajectories, and rank sustainability performance across companies and regions.</w:t>
      </w:r>
    </w:p>
    <w:p>
      <w:pPr>
        <w:pStyle w:val="Heading2"/>
        <w:spacing w:before="360" w:after="160"/>
      </w:pPr>
      <w:r>
        <w:rPr>
          <w:rFonts w:ascii="Calibri" w:cs="Calibri" w:eastAsia="Calibri" w:hAnsi="Calibri"/>
          <w:b/>
          <w:bCs/>
          <w:color w:val="1D4ED8"/>
          <w:sz w:val="28"/>
          <w:szCs w:val="28"/>
        </w:rPr>
        <w:t xml:space="preserve">1.2 Data Sources</w:t>
      </w:r>
    </w:p>
    <w:p>
      <w:pPr>
        <w:spacing w:before="0" w:after="180" w:line="288"/>
        <w:jc w:val="left"/>
      </w:pPr>
      <w:r>
        <w:rPr>
          <w:rFonts w:ascii="Calibri" w:cs="Calibri" w:eastAsia="Calibri" w:hAnsi="Calibri"/>
          <w:color w:val="0F172A"/>
          <w:sz w:val="22"/>
          <w:szCs w:val="22"/>
        </w:rPr>
        <w:t xml:space="preserve">This analysis draws on twelve primary sources, each selected for methodological rigour and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2200"/>
        <w:gridCol w:w="4760"/>
      </w:tblGrid>
      <w:tr>
        <w:trPr>
          <w:tblHeader/>
        </w:trPr>
        <w:tc>
          <w:tcPr>
            <w:tcW w:type="dxa" w:w="24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Source</w:t>
            </w:r>
          </w:p>
        </w:tc>
        <w:tc>
          <w:tcPr>
            <w:tcW w:type="dxa" w:w="22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Coverage</w:t>
            </w:r>
          </w:p>
        </w:tc>
        <w:tc>
          <w:tcPr>
            <w:tcW w:type="dxa" w:w="476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Key Variables Used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IEA Energy &amp; AI Report 2025</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Global DC energy 2020–2030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TWh by region, equipment type, scenarios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LBNL 2024 US DC Energy Report</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US DC energy 2014–2028</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PUE, WUE, server type breakdowns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Stanford HAI AI Index 2025</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AI investment &amp; adoption</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Private investment, compute, adoption rates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Uptime Institute Annual Survey 2024</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Global DC efficiency</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PUE/WUE averages 2007–2024</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Company Sustainability Reports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Google/MSFT/Amazon/Meta</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Scope 1/2/3, electricity, PPA, capex</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Epoch AI / arXiv 2505.09598</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AI model energy</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Training MWh, inference Wh/query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Synergy Research Group</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Hyperscale infrastructure</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DC count, capacity, quarterly capex</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Electricity Maps / IEA</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Grid carbon intensity</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gCO₂/kWh by region 2019–2024</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ITU/WBA Report 2024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Industry-level emissions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Combined hyperscaler indirect emissions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Carbone4 2024</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Emissions accounting</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Scope 2 market-based vs location-based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JLL DC Outlook 2026</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Infrastructure investment</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Global capacity forecasts, capex</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McKinsey / IDC</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Cloud &amp; AI markets</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Market size, adoption, compute demand</w:t>
            </w:r>
          </w:p>
        </w:tc>
      </w:tr>
    </w:tbl>
    <w:p>
      <w:pPr>
        <w:pStyle w:val="Heading2"/>
        <w:spacing w:before="360" w:after="160"/>
      </w:pPr>
      <w:r>
        <w:rPr>
          <w:rFonts w:ascii="Calibri" w:cs="Calibri" w:eastAsia="Calibri" w:hAnsi="Calibri"/>
          <w:b/>
          <w:bCs/>
          <w:color w:val="1D4ED8"/>
          <w:sz w:val="28"/>
          <w:szCs w:val="28"/>
        </w:rPr>
        <w:t xml:space="preserve">1.3 Analytical Methodology</w:t>
      </w:r>
    </w:p>
    <w:p>
      <w:pPr>
        <w:spacing w:before="0" w:after="180" w:line="288"/>
        <w:jc w:val="left"/>
      </w:pPr>
      <w:r>
        <w:rPr>
          <w:rFonts w:ascii="Calibri" w:cs="Calibri" w:eastAsia="Calibri" w:hAnsi="Calibri"/>
          <w:color w:val="0F172A"/>
          <w:sz w:val="22"/>
          <w:szCs w:val="22"/>
        </w:rPr>
        <w:t xml:space="preserve">The analysis combines four machine learning techniques with quantitative business consulting frameworks:</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Regression modelling:</w:t>
      </w:r>
      <w:r>
        <w:rPr>
          <w:rFonts w:ascii="Calibri" w:cs="Calibri" w:eastAsia="Calibri" w:hAnsi="Calibri"/>
          <w:color w:val="0F172A"/>
          <w:sz w:val="22"/>
          <w:szCs w:val="22"/>
        </w:rPr>
        <w:t xml:space="preserve"> Linear Regression selected from four candidates (including XGBoost and Random Forest) using time-series cross-validation. Target: global DC energy (TWh). Features: 9 AI boom KPIs including DC capex, hyperscale count, GPU revenue, and AI energy share. Training period: 2015–2021. Test period: 2022–2024.</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Time series forecasting:</w:t>
      </w:r>
      <w:r>
        <w:rPr>
          <w:rFonts w:ascii="Calibri" w:cs="Calibri" w:eastAsia="Calibri" w:hAnsi="Calibri"/>
          <w:color w:val="0F172A"/>
          <w:sz w:val="22"/>
          <w:szCs w:val="22"/>
        </w:rPr>
        <w:t xml:space="preserve"> Polynomial and exponential growth curves fitted to historical DC energy data (R²=0.9935 for polynomial). Calibrated to IEA Base Case (945 TWh 2030) and Lift-Off (1,200 TWh 2030) scenario anchors.</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K-Means clustering:</w:t>
      </w:r>
      <w:r>
        <w:rPr>
          <w:rFonts w:ascii="Calibri" w:cs="Calibri" w:eastAsia="Calibri" w:hAnsi="Calibri"/>
          <w:color w:val="0F172A"/>
          <w:sz w:val="22"/>
          <w:szCs w:val="22"/>
        </w:rPr>
        <w:t xml:space="preserve"> k=3 validated by silhouette score (peak 0.456 at k=3, elbow method confirmed). Five features: emissions intensity, pledge gap, Scope 3 %, PPA per capex, PUE. 24 observations across four companies and six years.</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PCA dimensionality reduction:</w:t>
      </w:r>
      <w:r>
        <w:rPr>
          <w:rFonts w:ascii="Calibri" w:cs="Calibri" w:eastAsia="Calibri" w:hAnsi="Calibri"/>
          <w:color w:val="0F172A"/>
          <w:sz w:val="22"/>
          <w:szCs w:val="22"/>
        </w:rPr>
        <w:t xml:space="preserve"> Two components preserve 74.9% of variance. PC1 (54.6%) = operational efficiency axis. PC2 (20.2%) = accountability axis.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92400E" w:sz="18"/>
              <w:bottom w:val="single" w:color="E2E8F0" w:sz="1"/>
              <w:right w:val="single" w:color="E2E8F0" w:sz="1"/>
            </w:tcBorders>
            <w:shd w:fill="FEF3C7" w:val="clear"/>
            <w:tcMar>
              <w:top w:type="dxa" w:w="140"/>
              <w:left w:type="dxa" w:w="220"/>
              <w:bottom w:type="dxa" w:w="140"/>
              <w:right w:type="dxa" w:w="220"/>
            </w:tcMar>
          </w:tcPr>
          <w:p>
            <w:pPr>
              <w:spacing w:before="0" w:after="80"/>
            </w:pPr>
            <w:r>
              <w:rPr>
                <w:rFonts w:ascii="Calibri" w:cs="Calibri" w:eastAsia="Calibri" w:hAnsi="Calibri"/>
                <w:b/>
                <w:bCs/>
                <w:color w:val="92400E"/>
                <w:sz w:val="20"/>
                <w:szCs w:val="20"/>
              </w:rPr>
              <w:t xml:space="preserve">NOTE ON SMALL-SAMPLE ML</w:t>
            </w:r>
          </w:p>
          <w:p>
            <w:pPr>
              <w:spacing w:before="0" w:after="0"/>
            </w:pPr>
            <w:r>
              <w:rPr>
                <w:rFonts w:ascii="Calibri" w:cs="Calibri" w:eastAsia="Calibri" w:hAnsi="Calibri"/>
                <w:color w:val="0F172A"/>
                <w:sz w:val="20"/>
                <w:szCs w:val="20"/>
              </w:rPr>
              <w:t xml:space="preserve">With 10 annual macro observations, complex models overfit training data and fail on test data — exactly what XGBoost (R²=−8.65) and Random Forest (R²=−8.65) demonstrated. Linear Regression was selected empirically, not assumed. This is consistent with established ML literature on small-sample tabular data, and the 3.1% average prediction error on the held-out test set confirms the model's validity.</w:t>
            </w:r>
          </w:p>
        </w:tc>
      </w:tr>
    </w:tbl>
    <w:p>
      <w:pPr>
        <w:spacing w:before="0" w:after="0"/>
      </w:pPr>
      <w:r>
        <w:br w:type="page"/>
      </w:r>
    </w:p>
    <w:p>
      <w:pPr>
        <w:spacing w:before="0" w:after="80"/>
      </w:pPr>
      <w:r>
        <w:rPr>
          <w:rFonts w:ascii="Calibri" w:cs="Calibri" w:eastAsia="Calibri" w:hAnsi="Calibri"/>
          <w:b/>
          <w:bCs/>
          <w:color w:val="1E3A5F"/>
          <w:spacing w:val="40"/>
          <w:sz w:val="18"/>
          <w:szCs w:val="18"/>
        </w:rPr>
        <w:t xml:space="preserve">ACT I</w:t>
      </w:r>
    </w:p>
    <w:p>
      <w:pPr>
        <w:pStyle w:val="Heading1"/>
        <w:pBdr>
          <w:bottom w:val="single" w:color="1E3A5F" w:sz="4" w:space="4"/>
        </w:pBdr>
        <w:spacing w:before="480" w:after="200"/>
      </w:pPr>
      <w:r>
        <w:rPr>
          <w:rFonts w:ascii="Calibri" w:cs="Calibri" w:eastAsia="Calibri" w:hAnsi="Calibri"/>
          <w:b/>
          <w:bCs/>
          <w:color w:val="1E3A5F"/>
          <w:sz w:val="36"/>
          <w:szCs w:val="36"/>
        </w:rPr>
        <w:t xml:space="preserve">2. The Boom: AI Infrastructure &amp; Energy Demand</w:t>
      </w:r>
    </w:p>
    <w:p>
      <w:pPr>
        <w:pStyle w:val="Heading2"/>
        <w:spacing w:before="360" w:after="160"/>
      </w:pPr>
      <w:r>
        <w:rPr>
          <w:rFonts w:ascii="Calibri" w:cs="Calibri" w:eastAsia="Calibri" w:hAnsi="Calibri"/>
          <w:b/>
          <w:bCs/>
          <w:color w:val="1D4ED8"/>
          <w:sz w:val="28"/>
          <w:szCs w:val="28"/>
        </w:rPr>
        <w:t xml:space="preserve">2.1 The Acceleration of DC Energy Demand</w:t>
      </w:r>
    </w:p>
    <w:p>
      <w:pPr>
        <w:spacing w:before="0" w:after="180" w:line="288"/>
        <w:jc w:val="left"/>
      </w:pPr>
      <w:r>
        <w:rPr>
          <w:rFonts w:ascii="Calibri" w:cs="Calibri" w:eastAsia="Calibri" w:hAnsi="Calibri"/>
          <w:color w:val="0F172A"/>
          <w:sz w:val="22"/>
          <w:szCs w:val="22"/>
        </w:rPr>
        <w:t xml:space="preserve">Global data center electricity consumption has followed three distinct growth phases since 2015, each driven by a different underlying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600"/>
        <w:gridCol w:w="1200"/>
        <w:gridCol w:w="3400"/>
        <w:gridCol w:w="3160"/>
      </w:tblGrid>
      <w:tr>
        <w:trPr>
          <w:tblHeader/>
        </w:trPr>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Period</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CAGR</w:t>
            </w:r>
          </w:p>
        </w:tc>
        <w:tc>
          <w:tcPr>
            <w:tcW w:type="dxa" w:w="3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Primary Driver</w:t>
            </w:r>
          </w:p>
        </w:tc>
        <w:tc>
          <w:tcPr>
            <w:tcW w:type="dxa" w:w="3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Key Event</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2015–2019</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3.0%/yr</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Steady cloud migration</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Enterprise cloud adoption</w:t>
            </w:r>
          </w:p>
        </w:tc>
      </w:tr>
      <w:tr>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2019–2022</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12.5%/yr</w:t>
            </w:r>
          </w:p>
        </w:tc>
        <w:tc>
          <w:tcPr>
            <w:tcW w:type="dxa" w:w="3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COVID-19 digital acceleration</w:t>
            </w:r>
          </w:p>
        </w:tc>
        <w:tc>
          <w:tcPr>
            <w:tcW w:type="dxa" w:w="3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Remote work, streaming surge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2022–2024</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15.7%/yr</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AI infrastructure buildout</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ChatGPT launch, GPU clusters</w:t>
            </w:r>
          </w:p>
        </w:tc>
      </w:tr>
    </w:tbl>
    <w:p>
      <w:pPr>
        <w:spacing w:before="0" w:after="180" w:line="288"/>
        <w:jc w:val="left"/>
      </w:pPr>
      <w:r>
        <w:rPr>
          <w:rFonts w:ascii="Calibri" w:cs="Calibri" w:eastAsia="Calibri" w:hAnsi="Calibri"/>
          <w:color w:val="0F172A"/>
          <w:sz w:val="22"/>
          <w:szCs w:val="22"/>
        </w:rPr>
        <w:t xml:space="preserve">The pattern is unambiguous: DC energy growth has accelerated fivefold over nine years. From 194 TWh in 2015 to 415 TWh in 2024 — a 114% increase — the trajectory has shifted from linear to polynomial, with the polynomial growth model achieving R²=0.9935 on historical data versus R²=0.851 for a linear fit.</w:t>
      </w:r>
    </w:p>
    <w:p>
      <w:pPr>
        <w:spacing w:before="240" w:after="80"/>
      </w:pPr>
      <w:r>
        <w:rPr>
          <w:rFonts w:ascii="Calibri" w:cs="Calibri" w:eastAsia="Calibri" w:hAnsi="Calibri"/>
          <w:b/>
          <w:bCs/>
          <w:color w:val="1E3A5F"/>
          <w:sz w:val="19"/>
          <w:szCs w:val="19"/>
        </w:rPr>
        <w:t xml:space="preserve">Exhibit E1: </w:t>
      </w:r>
      <w:r>
        <w:rPr>
          <w:rFonts w:ascii="Calibri" w:cs="Calibri" w:eastAsia="Calibri" w:hAnsi="Calibri"/>
          <w:color w:val="475569"/>
          <w:sz w:val="19"/>
          <w:szCs w:val="19"/>
        </w:rPr>
        <w:t xml:space="preserve">Global DC electricity consumption (TWh) 2015–2024, with period CAGR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1D4ED8" w:sz="18"/>
              <w:bottom w:val="single" w:color="E2E8F0" w:sz="1"/>
              <w:right w:val="single" w:color="E2E8F0" w:sz="1"/>
            </w:tcBorders>
            <w:shd w:fill="DBEAFE" w:val="clear"/>
            <w:tcMar>
              <w:top w:type="dxa" w:w="140"/>
              <w:left w:type="dxa" w:w="220"/>
              <w:bottom w:type="dxa" w:w="140"/>
              <w:right w:type="dxa" w:w="220"/>
            </w:tcMar>
          </w:tcPr>
          <w:p>
            <w:pPr>
              <w:spacing w:before="0" w:after="80"/>
            </w:pPr>
            <w:r>
              <w:rPr>
                <w:rFonts w:ascii="Calibri" w:cs="Calibri" w:eastAsia="Calibri" w:hAnsi="Calibri"/>
                <w:b/>
                <w:bCs/>
                <w:color w:val="1D4ED8"/>
                <w:sz w:val="20"/>
                <w:szCs w:val="20"/>
              </w:rPr>
              <w:t xml:space="preserve">KEY FINDING</w:t>
            </w:r>
          </w:p>
          <w:p>
            <w:pPr>
              <w:spacing w:before="0" w:after="0"/>
            </w:pPr>
            <w:r>
              <w:rPr>
                <w:rFonts w:ascii="Calibri" w:cs="Calibri" w:eastAsia="Calibri" w:hAnsi="Calibri"/>
                <w:color w:val="0F172A"/>
                <w:sz w:val="20"/>
                <w:szCs w:val="20"/>
              </w:rPr>
              <w:t xml:space="preserve">DC energy grew 114% from 2015 to 2024. The polynomial growth model (R²=0.994) outperforms linear (R²=0.851) — confirming that DC energy demand is not just growing, it is accelerating. The inflection point is precisely dated: Q4 2022, coinciding with the ChatGPT public launch.</w:t>
            </w:r>
          </w:p>
        </w:tc>
      </w:tr>
    </w:tbl>
    <w:p>
      <w:pPr>
        <w:spacing w:before="0" w:after="120"/>
      </w:pPr>
      <w:r>
        <w:t xml:space="preserve"/>
      </w:r>
    </w:p>
    <w:p>
      <w:pPr>
        <w:pStyle w:val="Heading2"/>
        <w:spacing w:before="360" w:after="160"/>
      </w:pPr>
      <w:r>
        <w:rPr>
          <w:rFonts w:ascii="Calibri" w:cs="Calibri" w:eastAsia="Calibri" w:hAnsi="Calibri"/>
          <w:b/>
          <w:bCs/>
          <w:color w:val="1D4ED8"/>
          <w:sz w:val="28"/>
          <w:szCs w:val="28"/>
        </w:rPr>
        <w:t xml:space="preserve">2.2 The AI Investment — Energy Relationship</w:t>
      </w:r>
    </w:p>
    <w:p>
      <w:pPr>
        <w:spacing w:before="0" w:after="180" w:line="288"/>
        <w:jc w:val="left"/>
      </w:pPr>
      <w:r>
        <w:rPr>
          <w:rFonts w:ascii="Calibri" w:cs="Calibri" w:eastAsia="Calibri" w:hAnsi="Calibri"/>
          <w:color w:val="0F172A"/>
          <w:sz w:val="22"/>
          <w:szCs w:val="22"/>
        </w:rPr>
        <w:t xml:space="preserve">A Pearson correlation analysis across 11 AI boom indicators reveals a uniformly strong relationship with DC energy demand. All 11 variables correlate above 0.86 with global DC energy (TWh):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3200"/>
        <w:gridCol w:w="2000"/>
        <w:gridCol w:w="4160"/>
      </w:tblGrid>
      <w:tr>
        <w:trPr>
          <w:tblHeader/>
        </w:trP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AI Boom Indicator</w:t>
            </w:r>
          </w:p>
        </w:tc>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Pearson r with DC Energy</w:t>
            </w:r>
          </w:p>
        </w:tc>
        <w:tc>
          <w:tcPr>
            <w:tcW w:type="dxa" w:w="4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Interpretation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Hyperscaler Electricity (TWh)</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+0.988</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Strongest predictor — hyperscaler share of DC energy is growing</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Hyperscale DC Count</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+0.982</w:t>
            </w:r>
          </w:p>
        </w:tc>
        <w:tc>
          <w:tcPr>
            <w:tcW w:type="dxa" w:w="4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Physical buildout directly drives consumption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AI Energy Share (%)</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+0.978</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AI workloads growing faster than total DC consumption</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GenAI Investment ($B)</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+0.973</w:t>
            </w:r>
          </w:p>
        </w:tc>
        <w:tc>
          <w:tcPr>
            <w:tcW w:type="dxa" w:w="4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Investment capital translates to compute infrastructure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DC Carbon Emissions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+0.971</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Emissions rising with energy — efficiency gains not offsetting</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DC Capex ($B)</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+0.969</w:t>
            </w:r>
          </w:p>
        </w:tc>
        <w:tc>
          <w:tcPr>
            <w:tcW w:type="dxa" w:w="4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Investment and consumption are structurally linked</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GPU/AI Chip Revenue ($B)</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+0.960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Hardware deployment leads energy consumption by ~9 months</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Renewable % of DC Electricity</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+0.958</w:t>
            </w:r>
          </w:p>
        </w:tc>
        <w:tc>
          <w:tcPr>
            <w:tcW w:type="dxa" w:w="4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Critical finding: renewables grow WITH consumption, not instead of it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Training Compute Index</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+0.911</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Compute scaling drives infrastructure scaling</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AI Private Investment ($B)</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+0.867</w:t>
            </w:r>
          </w:p>
        </w:tc>
        <w:tc>
          <w:tcPr>
            <w:tcW w:type="dxa" w:w="4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Upstream capital flows predict downstream energy demand</w:t>
            </w:r>
          </w:p>
        </w:tc>
      </w:tr>
    </w:tbl>
    <w:p>
      <w:pPr>
        <w:spacing w:before="0" w:after="180" w:line="288"/>
        <w:jc w:val="left"/>
      </w:pPr>
      <w:r>
        <w:rPr>
          <w:rFonts w:ascii="Calibri" w:cs="Calibri" w:eastAsia="Calibri" w:hAnsi="Calibri"/>
          <w:color w:val="0F172A"/>
          <w:sz w:val="22"/>
          <w:szCs w:val="22"/>
        </w:rPr>
        <w:t xml:space="preserve">The positive correlation of Renewable % (+0.958) with DC energy is the first signal of the paradox that defines Act II: clean energy procurement and energy consumption are rising together, meaning renewable certificates are not decoupling emissions from growth.</w:t>
      </w:r>
    </w:p>
    <w:p>
      <w:pPr>
        <w:pStyle w:val="Heading2"/>
        <w:spacing w:before="360" w:after="160"/>
      </w:pPr>
      <w:r>
        <w:rPr>
          <w:rFonts w:ascii="Calibri" w:cs="Calibri" w:eastAsia="Calibri" w:hAnsi="Calibri"/>
          <w:b/>
          <w:bCs/>
          <w:color w:val="1D4ED8"/>
          <w:sz w:val="28"/>
          <w:szCs w:val="28"/>
        </w:rPr>
        <w:t xml:space="preserve">2.3 The Compute Scaling Law</w:t>
      </w:r>
    </w:p>
    <w:p>
      <w:pPr>
        <w:spacing w:before="0" w:after="180" w:line="288"/>
        <w:jc w:val="left"/>
      </w:pPr>
      <w:r>
        <w:rPr>
          <w:rFonts w:ascii="Calibri" w:cs="Calibri" w:eastAsia="Calibri" w:hAnsi="Calibri"/>
          <w:color w:val="0F172A"/>
          <w:sz w:val="22"/>
          <w:szCs w:val="22"/>
        </w:rPr>
        <w:t xml:space="preserve">Training energy scales as a power law with respect to model parameters. Fitting a log-linear regression across disclosed AI model training data yields: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1D4ED8" w:sz="18"/>
              <w:bottom w:val="single" w:color="E2E8F0" w:sz="1"/>
              <w:right w:val="single" w:color="E2E8F0" w:sz="1"/>
            </w:tcBorders>
            <w:shd w:fill="DBEAFE" w:val="clear"/>
            <w:tcMar>
              <w:top w:type="dxa" w:w="140"/>
              <w:left w:type="dxa" w:w="220"/>
              <w:bottom w:type="dxa" w:w="140"/>
              <w:right w:type="dxa" w:w="220"/>
            </w:tcMar>
          </w:tcPr>
          <w:p>
            <w:pPr>
              <w:spacing w:before="0" w:after="80"/>
            </w:pPr>
            <w:r>
              <w:rPr>
                <w:rFonts w:ascii="Calibri" w:cs="Calibri" w:eastAsia="Calibri" w:hAnsi="Calibri"/>
                <w:b/>
                <w:bCs/>
                <w:color w:val="1D4ED8"/>
                <w:sz w:val="20"/>
                <w:szCs w:val="20"/>
              </w:rPr>
              <w:t xml:space="preserve">COMPUTE SCALING LAW</w:t>
            </w:r>
          </w:p>
          <w:p>
            <w:pPr>
              <w:spacing w:before="0" w:after="0"/>
            </w:pPr>
            <w:r>
              <w:rPr>
                <w:rFonts w:ascii="Calibri" w:cs="Calibri" w:eastAsia="Calibri" w:hAnsi="Calibri"/>
                <w:color w:val="0F172A"/>
                <w:sz w:val="20"/>
                <w:szCs w:val="20"/>
              </w:rPr>
              <w:t xml:space="preserve">Training Energy ∝ Parameters^0.861  |  R² = 0.885
Doubling model size multiplies training energy by ×1.82. A model 100× larger than its predecessor costs approximately 57× more energy to train (100^0.861 = 57). Models have grown from 0.34B parameters (BERT, 2018) to an estimated 1.8T parameters (GPT-4, 2023) — an increase of over 5,000×.</w:t>
            </w:r>
          </w:p>
        </w:tc>
      </w:tr>
    </w:tbl>
    <w:p>
      <w:pPr>
        <w:spacing w:before="0" w:after="180" w:line="288"/>
        <w:jc w:val="left"/>
      </w:pPr>
      <w:r>
        <w:rPr>
          <w:rFonts w:ascii="Calibri" w:cs="Calibri" w:eastAsia="Calibri" w:hAnsi="Calibri"/>
          <w:color w:val="0F172A"/>
          <w:sz w:val="22"/>
          <w:szCs w:val="22"/>
        </w:rPr>
        <w:t xml:space="preserve">The most commercially significant finding in this data is not the slope itself, but what is absent: </w:t>
      </w:r>
      <w:r>
        <w:rPr>
          <w:rFonts w:ascii="Calibri" w:cs="Calibri" w:eastAsia="Calibri" w:hAnsi="Calibri"/>
          <w:b/>
          <w:bCs/>
          <w:color w:val="0F172A"/>
          <w:sz w:val="22"/>
          <w:szCs w:val="22"/>
        </w:rPr>
        <w:t xml:space="preserve">68% of frontier AI models — including GPT-4, Gemini Ultra, Claude 3.5 Sonnet, DeepSeek-R1, and Llama 3.1 — have no publicly disclosed training energy or carbon data.</w:t>
      </w:r>
      <w:r>
        <w:rPr>
          <w:rFonts w:ascii="Calibri" w:cs="Calibri" w:eastAsia="Calibri" w:hAnsi="Calibri"/>
          <w:color w:val="0F172A"/>
          <w:sz w:val="22"/>
          <w:szCs w:val="22"/>
        </w:rPr>
        <w:t xml:space="preserve"> The models with the greatest commercial deployment and the greatest energy footprint are precisely those that do not disclose their environmental costs. This is a governance failure that precedes any attempt at accountability.</w:t>
      </w:r>
    </w:p>
    <w:p>
      <w:pPr>
        <w:spacing w:before="240" w:after="80"/>
      </w:pPr>
      <w:r>
        <w:rPr>
          <w:rFonts w:ascii="Calibri" w:cs="Calibri" w:eastAsia="Calibri" w:hAnsi="Calibri"/>
          <w:b/>
          <w:bCs/>
          <w:color w:val="1E3A5F"/>
          <w:sz w:val="19"/>
          <w:szCs w:val="19"/>
        </w:rPr>
        <w:t xml:space="preserve">Exhibit E2: </w:t>
      </w:r>
      <w:r>
        <w:rPr>
          <w:rFonts w:ascii="Calibri" w:cs="Calibri" w:eastAsia="Calibri" w:hAnsi="Calibri"/>
          <w:color w:val="475569"/>
          <w:sz w:val="19"/>
          <w:szCs w:val="19"/>
        </w:rPr>
        <w:t xml:space="preserve">Training energy (MWh) vs parameters (billions) on log-log scale | Power-law fit | Colour = release year</w:t>
      </w:r>
    </w:p>
    <w:p>
      <w:pPr>
        <w:spacing w:before="60" w:after="200"/>
      </w:pPr>
      <w:r>
        <w:rPr>
          <w:rFonts w:ascii="Calibri" w:cs="Calibri" w:eastAsia="Calibri" w:hAnsi="Calibri"/>
          <w:color w:val="64748B"/>
          <w:sz w:val="17"/>
          <w:szCs w:val="17"/>
        </w:rPr>
        <w:t xml:space="preserve">Source: Epoch AI | Patterson et al. 2021 | arXiv 2505.09598 | Stanford HAI AI Index 2025</w:t>
      </w:r>
    </w:p>
    <w:p>
      <w:pPr>
        <w:pStyle w:val="Heading2"/>
        <w:spacing w:before="360" w:after="160"/>
      </w:pPr>
      <w:r>
        <w:rPr>
          <w:rFonts w:ascii="Calibri" w:cs="Calibri" w:eastAsia="Calibri" w:hAnsi="Calibri"/>
          <w:b/>
          <w:bCs/>
          <w:color w:val="1D4ED8"/>
          <w:sz w:val="28"/>
          <w:szCs w:val="28"/>
        </w:rPr>
        <w:t xml:space="preserve">2.4 The Regression Model: Quantifying the AI-Energy Relationship</w:t>
      </w:r>
    </w:p>
    <w:p>
      <w:pPr>
        <w:spacing w:before="0" w:after="180" w:line="288"/>
        <w:jc w:val="left"/>
      </w:pPr>
      <w:r>
        <w:rPr>
          <w:rFonts w:ascii="Calibri" w:cs="Calibri" w:eastAsia="Calibri" w:hAnsi="Calibri"/>
          <w:color w:val="0F172A"/>
          <w:sz w:val="22"/>
          <w:szCs w:val="22"/>
        </w:rPr>
        <w:t xml:space="preserve">The regression model translates the correlation findings into quantified business insights. Key coefficient findings from the Linear Regression model (R²=0.866, test RMSE=15.8 TWh):</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DC Capex is the primary driver.</w:t>
      </w:r>
      <w:r>
        <w:rPr>
          <w:rFonts w:ascii="Calibri" w:cs="Calibri" w:eastAsia="Calibri" w:hAnsi="Calibri"/>
          <w:color w:val="0F172A"/>
          <w:sz w:val="22"/>
          <w:szCs w:val="22"/>
        </w:rPr>
        <w:t xml:space="preserve"> Every $1B in global data center capital expenditure is associated with an additional </w:t>
      </w:r>
      <w:r>
        <w:rPr>
          <w:rFonts w:ascii="Calibri" w:cs="Calibri" w:eastAsia="Calibri" w:hAnsi="Calibri"/>
          <w:b/>
          <w:bCs/>
          <w:color w:val="0F172A"/>
          <w:sz w:val="22"/>
          <w:szCs w:val="22"/>
        </w:rPr>
        <w:t xml:space="preserve">33.7 TWh</w:t>
      </w:r>
      <w:r>
        <w:rPr>
          <w:rFonts w:ascii="Calibri" w:cs="Calibri" w:eastAsia="Calibri" w:hAnsi="Calibri"/>
          <w:color w:val="0F172A"/>
          <w:sz w:val="22"/>
          <w:szCs w:val="22"/>
        </w:rPr>
        <w:t xml:space="preserve"> of annual energy demand, holding all other features constant. At the current build rate, this represents a structural rather than cyclical relationship.</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Each new hyperscale DC adds 9.7 TWh annually.</w:t>
      </w:r>
      <w:r>
        <w:rPr>
          <w:rFonts w:ascii="Calibri" w:cs="Calibri" w:eastAsia="Calibri" w:hAnsi="Calibri"/>
          <w:color w:val="0F172A"/>
          <w:sz w:val="22"/>
          <w:szCs w:val="22"/>
        </w:rPr>
        <w:t xml:space="preserve"> At 130+ new hyperscale facilities opening per year, this implies an additional </w:t>
      </w:r>
      <w:r>
        <w:rPr>
          <w:rFonts w:ascii="Calibri" w:cs="Calibri" w:eastAsia="Calibri" w:hAnsi="Calibri"/>
          <w:b/>
          <w:bCs/>
          <w:color w:val="0F172A"/>
          <w:sz w:val="22"/>
          <w:szCs w:val="22"/>
        </w:rPr>
        <w:t xml:space="preserve">1,265 TWh</w:t>
      </w:r>
      <w:r>
        <w:rPr>
          <w:rFonts w:ascii="Calibri" w:cs="Calibri" w:eastAsia="Calibri" w:hAnsi="Calibri"/>
          <w:color w:val="0F172A"/>
          <w:sz w:val="22"/>
          <w:szCs w:val="22"/>
        </w:rPr>
        <w:t xml:space="preserve"> of annual energy pressure from physical buildout alone — more than the UK's entire electricity consumption.</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2023 was a structural break.</w:t>
      </w:r>
      <w:r>
        <w:rPr>
          <w:rFonts w:ascii="Calibri" w:cs="Calibri" w:eastAsia="Calibri" w:hAnsi="Calibri"/>
          <w:color w:val="0F172A"/>
          <w:sz w:val="22"/>
          <w:szCs w:val="22"/>
        </w:rPr>
        <w:t xml:space="preserve"> The model accurately predicted 2022 (311 TWh predicted vs 310 actual) and 2024 (409 vs 415), but underestimated 2023 by 26.5 TWh. This underprediction is not a model failure — it is quantitative evidence that ChatGPT's launch created a genuine discontinuity in the AI-energy relationship that no model trained on pre-2022 data could have anticipated.</w:t>
      </w:r>
    </w:p>
    <w:p>
      <w:pPr>
        <w:spacing w:before="0" w:after="0"/>
      </w:pPr>
      <w:r>
        <w:br w:type="page"/>
      </w:r>
    </w:p>
    <w:p>
      <w:pPr>
        <w:spacing w:before="0" w:after="80"/>
      </w:pPr>
      <w:r>
        <w:rPr>
          <w:rFonts w:ascii="Calibri" w:cs="Calibri" w:eastAsia="Calibri" w:hAnsi="Calibri"/>
          <w:b/>
          <w:bCs/>
          <w:color w:val="1E3A5F"/>
          <w:spacing w:val="40"/>
          <w:sz w:val="18"/>
          <w:szCs w:val="18"/>
        </w:rPr>
        <w:t xml:space="preserve">ACT II</w:t>
      </w:r>
    </w:p>
    <w:p>
      <w:pPr>
        <w:pStyle w:val="Heading1"/>
        <w:pBdr>
          <w:bottom w:val="single" w:color="1E3A5F" w:sz="4" w:space="4"/>
        </w:pBdr>
        <w:spacing w:before="480" w:after="200"/>
      </w:pPr>
      <w:r>
        <w:rPr>
          <w:rFonts w:ascii="Calibri" w:cs="Calibri" w:eastAsia="Calibri" w:hAnsi="Calibri"/>
          <w:b/>
          <w:bCs/>
          <w:color w:val="1E3A5F"/>
          <w:sz w:val="36"/>
          <w:szCs w:val="36"/>
        </w:rPr>
        <w:t xml:space="preserve">3. The Reckoning: Sustainability Commitments Under Pressure</w:t>
      </w:r>
    </w:p>
    <w:p>
      <w:pPr>
        <w:pStyle w:val="Heading2"/>
        <w:spacing w:before="360" w:after="160"/>
      </w:pPr>
      <w:r>
        <w:rPr>
          <w:rFonts w:ascii="Calibri" w:cs="Calibri" w:eastAsia="Calibri" w:hAnsi="Calibri"/>
          <w:b/>
          <w:bCs/>
          <w:color w:val="1D4ED8"/>
          <w:sz w:val="28"/>
          <w:szCs w:val="28"/>
        </w:rPr>
        <w:t xml:space="preserve">3.1 The Hyperscaler Paradox</w:t>
      </w:r>
    </w:p>
    <w:p>
      <w:pPr>
        <w:spacing w:before="0" w:after="180" w:line="288"/>
        <w:jc w:val="left"/>
      </w:pPr>
      <w:r>
        <w:rPr>
          <w:rFonts w:ascii="Calibri" w:cs="Calibri" w:eastAsia="Calibri" w:hAnsi="Calibri"/>
          <w:color w:val="0F172A"/>
          <w:sz w:val="22"/>
          <w:szCs w:val="22"/>
        </w:rPr>
        <w:t xml:space="preserve">The central contradiction of hyperscaler sustainability reporting is visible in a single comparison: all four major operators — Google, Microsoft, Amazon, and Meta — report 100% renewable energy matching. All four show rising absolute GHG emissions over the same period. Both facts are true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600"/>
        <w:gridCol w:w="1800"/>
        <w:gridCol w:w="1760"/>
        <w:gridCol w:w="1800"/>
        <w:gridCol w:w="1200"/>
        <w:gridCol w:w="1200"/>
      </w:tblGrid>
      <w:tr>
        <w:trPr>
          <w:tblHeader/>
        </w:trPr>
        <w:tc>
          <w:tcPr>
            <w:tcW w:type="dxa" w:w="16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Company</w:t>
            </w:r>
          </w:p>
        </w:tc>
        <w:tc>
          <w:tcPr>
            <w:tcW w:type="dxa" w:w="18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Renewable Energy (2024)</w:t>
            </w:r>
          </w:p>
        </w:tc>
        <w:tc>
          <w:tcPr>
            <w:tcW w:type="dxa" w:w="176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GHG 2019 (MtCO₂e)</w:t>
            </w:r>
          </w:p>
        </w:tc>
        <w:tc>
          <w:tcPr>
            <w:tcW w:type="dxa" w:w="18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GHG 2024 (MtCO₂e)</w:t>
            </w:r>
          </w:p>
        </w:tc>
        <w:tc>
          <w:tcPr>
            <w:tcW w:type="dxa" w:w="12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Change</w:t>
            </w:r>
          </w:p>
        </w:tc>
        <w:tc>
          <w:tcPr>
            <w:tcW w:type="dxa" w:w="12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Sust. Score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Google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100%</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9.7</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15.5</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2/5</w:t>
            </w:r>
          </w:p>
        </w:tc>
      </w:tr>
      <w:tr>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Microsoft</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100%</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13.8</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28.5</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+107%</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2/5</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Amazon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100%</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71.5</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N/A (undisclosed)</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2/5</w:t>
            </w:r>
          </w:p>
        </w:tc>
      </w:tr>
      <w:tr>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Meta</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100%</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7.8</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N/A (undisclosed)</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2/5</w:t>
            </w:r>
          </w:p>
        </w:tc>
      </w:tr>
    </w:tbl>
    <w:p>
      <w:pPr>
        <w:spacing w:before="0" w:after="180" w:line="288"/>
        <w:jc w:val="left"/>
      </w:pPr>
      <w:r>
        <w:rPr>
          <w:rFonts w:ascii="Calibri" w:cs="Calibri" w:eastAsia="Calibri" w:hAnsi="Calibri"/>
          <w:color w:val="0F172A"/>
          <w:sz w:val="22"/>
          <w:szCs w:val="22"/>
        </w:rPr>
        <w:t xml:space="preserve">The explanation for this paradox lies in the mechanics of renewable energy certificate (REC) accounting. When a hyperscaler claims "100% renewable energy," it typically means that it has purchased RECs equivalent to its annual electricity consumption — not that the electrons powering its servers are actually clean at any given moment. A data center running on coal power at midnight in Virginia can claim 100% renewable status by purchasing a certificate from a wind farm in Texas that generated electricity at noon.</w:t>
      </w:r>
    </w:p>
    <w:p>
      <w:pPr>
        <w:spacing w:before="0" w:after="180" w:line="288"/>
        <w:jc w:val="left"/>
      </w:pPr>
      <w:r>
        <w:rPr>
          <w:rFonts w:ascii="Calibri" w:cs="Calibri" w:eastAsia="Calibri" w:hAnsi="Calibri"/>
          <w:color w:val="0F172A"/>
          <w:sz w:val="22"/>
          <w:szCs w:val="22"/>
        </w:rPr>
        <w:t xml:space="preserve">Meanwhile, electricity consumption grew so fast — driven by AI infrastructure — that even the most aggressive renewable procurement programmes could not offset the absolute increase in emissions from supply chain, hardware manufacturing, and cooling systems. The ITU/WBA 2024 report quantifies the outcome: combined indirect emissions from Amazon, Microsoft, Alphabet, and Meta rose </w:t>
      </w:r>
      <w:r>
        <w:rPr>
          <w:rFonts w:ascii="Calibri" w:cs="Calibri" w:eastAsia="Calibri" w:hAnsi="Calibri"/>
          <w:b/>
          <w:bCs/>
          <w:color w:val="0F172A"/>
          <w:sz w:val="22"/>
          <w:szCs w:val="22"/>
        </w:rPr>
        <w:t xml:space="preserve">150% from 2020 to 2023.</w:t>
      </w: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991B1B" w:sz="18"/>
              <w:bottom w:val="single" w:color="E2E8F0" w:sz="1"/>
              <w:right w:val="single" w:color="E2E8F0" w:sz="1"/>
            </w:tcBorders>
            <w:shd w:fill="FEE2E2" w:val="clear"/>
            <w:tcMar>
              <w:top w:type="dxa" w:w="140"/>
              <w:left w:type="dxa" w:w="220"/>
              <w:bottom w:type="dxa" w:w="140"/>
              <w:right w:type="dxa" w:w="220"/>
            </w:tcMar>
          </w:tcPr>
          <w:p>
            <w:pPr>
              <w:spacing w:before="0" w:after="80"/>
            </w:pPr>
            <w:r>
              <w:rPr>
                <w:rFonts w:ascii="Calibri" w:cs="Calibri" w:eastAsia="Calibri" w:hAnsi="Calibri"/>
                <w:b/>
                <w:bCs/>
                <w:color w:val="991B1B"/>
                <w:sz w:val="20"/>
                <w:szCs w:val="20"/>
              </w:rPr>
              <w:t xml:space="preserve">KEY FINDING — THE PARADOX</w:t>
            </w:r>
          </w:p>
          <w:p>
            <w:pPr>
              <w:spacing w:before="0" w:after="0"/>
            </w:pPr>
            <w:r>
              <w:rPr>
                <w:rFonts w:ascii="Calibri" w:cs="Calibri" w:eastAsia="Calibri" w:hAnsi="Calibri"/>
                <w:color w:val="0F172A"/>
                <w:sz w:val="20"/>
                <w:szCs w:val="20"/>
              </w:rPr>
              <w:t xml:space="preserve">100% annual renewable energy matching + 50%+ GHG emissions growth = the defining sustainability contradiction of the AI era. Annual certificates are not a proxy for real-world decarbonisation. They are a mechanism that makes the emissions problem invisible in headline reporting while it continues to grow in absolute terms.</w:t>
            </w:r>
          </w:p>
        </w:tc>
      </w:tr>
    </w:tbl>
    <w:p>
      <w:pPr>
        <w:pStyle w:val="Heading2"/>
        <w:spacing w:before="360" w:after="160"/>
      </w:pPr>
      <w:r>
        <w:rPr>
          <w:rFonts w:ascii="Calibri" w:cs="Calibri" w:eastAsia="Calibri" w:hAnsi="Calibri"/>
          <w:b/>
          <w:bCs/>
          <w:color w:val="1D4ED8"/>
          <w:sz w:val="28"/>
          <w:szCs w:val="28"/>
        </w:rPr>
        <w:t xml:space="preserve">3.2 The Sustainability Pledge Gap</w:t>
      </w:r>
    </w:p>
    <w:p>
      <w:pPr>
        <w:spacing w:before="0" w:after="180" w:line="288"/>
        <w:jc w:val="left"/>
      </w:pPr>
      <w:r>
        <w:rPr>
          <w:rFonts w:ascii="Calibri" w:cs="Calibri" w:eastAsia="Calibri" w:hAnsi="Calibri"/>
          <w:color w:val="0F172A"/>
          <w:sz w:val="22"/>
          <w:szCs w:val="22"/>
        </w:rPr>
        <w:t xml:space="preserve">Each hyperscaler has committed to annual emissions reduction targets as part of its net-zero pathway. The gap between pledged reductions and actual outcomes, calculated from company sustainability reports and cross-referenced with ITU/WBA and Carbone4 data, reveals consistent and worsening underperformance: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500"/>
        <w:gridCol w:w="1100"/>
        <w:gridCol w:w="1100"/>
        <w:gridCol w:w="1100"/>
        <w:gridCol w:w="1100"/>
        <w:gridCol w:w="3460"/>
      </w:tblGrid>
      <w:tr>
        <w:trPr>
          <w:tblHeader/>
        </w:trPr>
        <w:tc>
          <w:tcPr>
            <w:tcW w:type="dxa" w:w="15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Company</w:t>
            </w:r>
          </w:p>
        </w:tc>
        <w:tc>
          <w:tcPr>
            <w:tcW w:type="dxa" w:w="11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2021 Gap</w:t>
            </w:r>
          </w:p>
        </w:tc>
        <w:tc>
          <w:tcPr>
            <w:tcW w:type="dxa" w:w="11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2022 Gap</w:t>
            </w:r>
          </w:p>
        </w:tc>
        <w:tc>
          <w:tcPr>
            <w:tcW w:type="dxa" w:w="11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2023 Gap</w:t>
            </w:r>
          </w:p>
        </w:tc>
        <w:tc>
          <w:tcPr>
            <w:tcW w:type="dxa" w:w="110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2024 Gap</w:t>
            </w:r>
          </w:p>
        </w:tc>
        <w:tc>
          <w:tcPr>
            <w:tcW w:type="dxa" w:w="3460"/>
            <w:tcBorders>
              <w:top w:val="single" w:color="E2E8F0" w:sz="1"/>
              <w:left w:val="single" w:color="E2E8F0" w:sz="1"/>
              <w:bottom w:val="single" w:color="E2E8F0" w:sz="1"/>
              <w:right w:val="single" w:color="E2E8F0" w:sz="1"/>
            </w:tcBorders>
            <w:shd w:fill="991B1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Key Evidence</w:t>
            </w:r>
          </w:p>
        </w:tc>
      </w:tr>
      <w:tr>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Google</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+9.3%pt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+9.2%pt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+24.4%pt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+8.4%pt</w:t>
            </w:r>
          </w:p>
        </w:tc>
        <w:tc>
          <w:tcPr>
            <w:tcW w:type="dxa" w:w="3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Removed net-zero pledge from website July 2024; GHG +48% vs 2019</w:t>
            </w:r>
          </w:p>
        </w:tc>
      </w:tr>
      <w:tr>
        <w:tc>
          <w:tcPr>
            <w:tcW w:type="dxa" w:w="1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Microsoft</w:t>
            </w:r>
          </w:p>
        </w:tc>
        <w:tc>
          <w:tcPr>
            <w:tcW w:type="dxa" w:w="1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+30.0%pt</w:t>
            </w:r>
          </w:p>
        </w:tc>
        <w:tc>
          <w:tcPr>
            <w:tcW w:type="dxa" w:w="1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+1.9%pt</w:t>
            </w:r>
          </w:p>
        </w:tc>
        <w:tc>
          <w:tcPr>
            <w:tcW w:type="dxa" w:w="1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+30.1%pt</w:t>
            </w:r>
          </w:p>
        </w:tc>
        <w:tc>
          <w:tcPr>
            <w:tcW w:type="dxa" w:w="1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+17.8%pt</w:t>
            </w:r>
          </w:p>
        </w:tc>
        <w:tc>
          <w:tcPr>
            <w:tcW w:type="dxa" w:w="3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CSO: "the moon has gotten further away"; Scope 3 +30.9% in FY23</w:t>
            </w:r>
          </w:p>
        </w:tc>
      </w:tr>
      <w:tr>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Amazon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0%pt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0%pt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−3.1%pt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N/A</w:t>
            </w:r>
          </w:p>
        </w:tc>
        <w:tc>
          <w:tcPr>
            <w:tcW w:type="dxa" w:w="3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First reduction in 2023; 2024 data not published</w:t>
            </w:r>
          </w:p>
        </w:tc>
      </w:tr>
      <w:tr>
        <w:tc>
          <w:tcPr>
            <w:tcW w:type="dxa" w:w="1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Meta</w:t>
            </w:r>
          </w:p>
        </w:tc>
        <w:tc>
          <w:tcPr>
            <w:tcW w:type="dxa" w:w="1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+11.3%pt</w:t>
            </w:r>
          </w:p>
        </w:tc>
        <w:tc>
          <w:tcPr>
            <w:tcW w:type="dxa" w:w="1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+12.1%pt</w:t>
            </w:r>
          </w:p>
        </w:tc>
        <w:tc>
          <w:tcPr>
            <w:tcW w:type="dxa" w:w="1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+17.4%pt</w:t>
            </w:r>
          </w:p>
        </w:tc>
        <w:tc>
          <w:tcPr>
            <w:tcW w:type="dxa" w:w="1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N/A</w:t>
            </w:r>
          </w:p>
        </w:tc>
        <w:tc>
          <w:tcPr>
            <w:tcW w:type="dxa" w:w="3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+145% indirect emissions 2020–2023 (ITU/WBA 2024)</w:t>
            </w:r>
          </w:p>
        </w:tc>
      </w:tr>
    </w:tbl>
    <w:p>
      <w:pPr>
        <w:spacing w:before="0" w:after="180" w:line="288"/>
        <w:jc w:val="left"/>
      </w:pPr>
      <w:r>
        <w:rPr>
          <w:rFonts w:ascii="Calibri" w:cs="Calibri" w:eastAsia="Calibri" w:hAnsi="Calibri"/>
          <w:color w:val="0F172A"/>
          <w:sz w:val="22"/>
          <w:szCs w:val="22"/>
        </w:rPr>
        <w:t xml:space="preserve">The apparent narrowing of the gap for some companies in 2024 requires careful interpretation. Google and Microsoft both publicly revised their sustainability targets downward during 2023–2024 after acknowledging that AI infrastructure buildout made their original goals unreachable. Narrowing gaps in 2024 partly reflect target revision — moving the goalposts — rather than genuine decarbonisation progress.</w:t>
      </w:r>
    </w:p>
    <w:p>
      <w:pPr>
        <w:pStyle w:val="Heading2"/>
        <w:spacing w:before="360" w:after="160"/>
      </w:pPr>
      <w:r>
        <w:rPr>
          <w:rFonts w:ascii="Calibri" w:cs="Calibri" w:eastAsia="Calibri" w:hAnsi="Calibri"/>
          <w:b/>
          <w:bCs/>
          <w:color w:val="1D4ED8"/>
          <w:sz w:val="28"/>
          <w:szCs w:val="28"/>
        </w:rPr>
        <w:t xml:space="preserve">3.3 The Inference Energy Problem</w:t>
      </w:r>
    </w:p>
    <w:p>
      <w:pPr>
        <w:spacing w:before="0" w:after="180" w:line="288"/>
        <w:jc w:val="left"/>
      </w:pPr>
      <w:r>
        <w:rPr>
          <w:rFonts w:ascii="Calibri" w:cs="Calibri" w:eastAsia="Calibri" w:hAnsi="Calibri"/>
          <w:color w:val="0F172A"/>
          <w:sz w:val="22"/>
          <w:szCs w:val="22"/>
        </w:rPr>
        <w:t xml:space="preserve">Public discourse about AI energy consumption focuses almost entirely on training — the one-time cost of building a model. This focus is misplaced. Inference — running the model at scale to answer billions of daily queries — is estimated to account for </w:t>
      </w:r>
      <w:r>
        <w:rPr>
          <w:rFonts w:ascii="Calibri" w:cs="Calibri" w:eastAsia="Calibri" w:hAnsi="Calibri"/>
          <w:b/>
          <w:bCs/>
          <w:color w:val="0F172A"/>
          <w:sz w:val="22"/>
          <w:szCs w:val="22"/>
        </w:rPr>
        <w:t xml:space="preserve">up to 90% of a model's total lifecycle energy consumption.</w:t>
      </w:r>
      <w:r>
        <w:rPr>
          <w:rFonts w:ascii="Calibri" w:cs="Calibri" w:eastAsia="Calibri" w:hAnsi="Calibri"/>
          <w:color w:val="0F172A"/>
          <w:sz w:val="22"/>
          <w:szCs w:val="22"/>
        </w:rPr>
        <w:t xml:space="preserve"> And unlike training, inference is ongoing, growing, and entirely unregulated.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200"/>
        <w:gridCol w:w="1600"/>
        <w:gridCol w:w="1600"/>
        <w:gridCol w:w="1760"/>
        <w:gridCol w:w="2200"/>
      </w:tblGrid>
      <w:tr>
        <w:trPr>
          <w:tblHeader/>
        </w:trPr>
        <w:tc>
          <w:tcPr>
            <w:tcW w:type="dxa" w:w="2200"/>
            <w:tcBorders>
              <w:top w:val="single" w:color="E2E8F0" w:sz="1"/>
              <w:left w:val="single" w:color="E2E8F0" w:sz="1"/>
              <w:bottom w:val="single" w:color="E2E8F0" w:sz="1"/>
              <w:right w:val="single" w:color="E2E8F0" w:sz="1"/>
            </w:tcBorders>
            <w:shd w:fill="92400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AI Service</w:t>
            </w:r>
          </w:p>
        </w:tc>
        <w:tc>
          <w:tcPr>
            <w:tcW w:type="dxa" w:w="1600"/>
            <w:tcBorders>
              <w:top w:val="single" w:color="E2E8F0" w:sz="1"/>
              <w:left w:val="single" w:color="E2E8F0" w:sz="1"/>
              <w:bottom w:val="single" w:color="E2E8F0" w:sz="1"/>
              <w:right w:val="single" w:color="E2E8F0" w:sz="1"/>
            </w:tcBorders>
            <w:shd w:fill="92400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Daily Queries (M)</w:t>
            </w:r>
          </w:p>
        </w:tc>
        <w:tc>
          <w:tcPr>
            <w:tcW w:type="dxa" w:w="1600"/>
            <w:tcBorders>
              <w:top w:val="single" w:color="E2E8F0" w:sz="1"/>
              <w:left w:val="single" w:color="E2E8F0" w:sz="1"/>
              <w:bottom w:val="single" w:color="E2E8F0" w:sz="1"/>
              <w:right w:val="single" w:color="E2E8F0" w:sz="1"/>
            </w:tcBorders>
            <w:shd w:fill="92400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Energy/Query (Wh)</w:t>
            </w:r>
          </w:p>
        </w:tc>
        <w:tc>
          <w:tcPr>
            <w:tcW w:type="dxa" w:w="1760"/>
            <w:tcBorders>
              <w:top w:val="single" w:color="E2E8F0" w:sz="1"/>
              <w:left w:val="single" w:color="E2E8F0" w:sz="1"/>
              <w:bottom w:val="single" w:color="E2E8F0" w:sz="1"/>
              <w:right w:val="single" w:color="E2E8F0" w:sz="1"/>
            </w:tcBorders>
            <w:shd w:fill="92400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Annual Energy (GWh)</w:t>
            </w:r>
          </w:p>
        </w:tc>
        <w:tc>
          <w:tcPr>
            <w:tcW w:type="dxa" w:w="2200"/>
            <w:tcBorders>
              <w:top w:val="single" w:color="E2E8F0" w:sz="1"/>
              <w:left w:val="single" w:color="E2E8F0" w:sz="1"/>
              <w:bottom w:val="single" w:color="E2E8F0" w:sz="1"/>
              <w:right w:val="single" w:color="E2E8F0" w:sz="1"/>
            </w:tcBorders>
            <w:shd w:fill="92400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vs Google Search</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DeepSeek-R1</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33.0</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361</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110,000×</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o3 (OpenAI)</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33.0</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60</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110,000×</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ChatGPT (GPT-4o)</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700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0.43</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1,433×</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Google Bard</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150</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0.40</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22</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1,333×</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GPT-4o mini</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0.05</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167×</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Claude (Sonnet)</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50</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0.20</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667×</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Google Search</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8,500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0.0003</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baseline</w:t>
            </w:r>
          </w:p>
        </w:tc>
      </w:tr>
    </w:tbl>
    <w:p>
      <w:pPr>
        <w:spacing w:before="0" w:after="180" w:line="288"/>
        <w:jc w:val="left"/>
      </w:pPr>
      <w:r>
        <w:rPr>
          <w:rFonts w:ascii="Calibri" w:cs="Calibri" w:eastAsia="Calibri" w:hAnsi="Calibri"/>
          <w:color w:val="0F172A"/>
          <w:sz w:val="22"/>
          <w:szCs w:val="22"/>
        </w:rPr>
        <w:t xml:space="preserve">The energy intensity gap between reasoning models (DeepSeek-R1, o3) and efficient models (GPT-4o mini) spans three orders of magnitude. As the AI industry moves toward reasoning models for improved task performance, inference energy costs will compound. </w:t>
      </w:r>
      <w:r>
        <w:rPr>
          <w:rFonts w:ascii="Calibri" w:cs="Calibri" w:eastAsia="Calibri" w:hAnsi="Calibri"/>
          <w:b/>
          <w:bCs/>
          <w:color w:val="0F172A"/>
          <w:sz w:val="22"/>
          <w:szCs w:val="22"/>
        </w:rPr>
        <w:t xml:space="preserve">The DeepSeek-R1 efficiency paradox</w:t>
      </w:r>
      <w:r>
        <w:rPr>
          <w:rFonts w:ascii="Calibri" w:cs="Calibri" w:eastAsia="Calibri" w:hAnsi="Calibri"/>
          <w:color w:val="0F172A"/>
          <w:sz w:val="22"/>
          <w:szCs w:val="22"/>
        </w:rPr>
        <w:t xml:space="preserve"> illustrates this directly: trained for under $6M versus an estimated $78M for GPT-4, DeepSeek-V3 appears to be a sustainability win — yet DeepSeek-R1 uses 33 Wh per query versus 0.43 Wh for GPT-4o, making it the most energy-intensive AI service measured.</w:t>
      </w:r>
    </w:p>
    <w:p>
      <w:pPr>
        <w:spacing w:before="0" w:after="180" w:line="288"/>
        <w:jc w:val="left"/>
      </w:pPr>
      <w:r>
        <w:rPr>
          <w:rFonts w:ascii="Calibri" w:cs="Calibri" w:eastAsia="Calibri" w:hAnsi="Calibri"/>
          <w:color w:val="0F172A"/>
          <w:sz w:val="22"/>
          <w:szCs w:val="22"/>
        </w:rPr>
        <w:t xml:space="preserve">Training efficiency does not imply inference efficiency. This distinction is absent from virtually all corporate sustainability reporting.</w:t>
      </w:r>
    </w:p>
    <w:p>
      <w:pPr>
        <w:pStyle w:val="Heading2"/>
        <w:spacing w:before="360" w:after="160"/>
      </w:pPr>
      <w:r>
        <w:rPr>
          <w:rFonts w:ascii="Calibri" w:cs="Calibri" w:eastAsia="Calibri" w:hAnsi="Calibri"/>
          <w:b/>
          <w:bCs/>
          <w:color w:val="1D4ED8"/>
          <w:sz w:val="28"/>
          <w:szCs w:val="28"/>
        </w:rPr>
        <w:t xml:space="preserve">3.4 ML Clustering: Sustainability Performance Tiers</w:t>
      </w:r>
    </w:p>
    <w:p>
      <w:pPr>
        <w:spacing w:before="0" w:after="180" w:line="288"/>
        <w:jc w:val="left"/>
      </w:pPr>
      <w:r>
        <w:rPr>
          <w:rFonts w:ascii="Calibri" w:cs="Calibri" w:eastAsia="Calibri" w:hAnsi="Calibri"/>
          <w:color w:val="0F172A"/>
          <w:sz w:val="22"/>
          <w:szCs w:val="22"/>
        </w:rPr>
        <w:t xml:space="preserve">K-Means clustering across five sustainability dimensions — emissions intensity, pledge gap, Scope 3 %, PPA per capex, and PUE — with k=3 validated by silhouette score (0.456) reveals three distinct performance profiles:</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Leader (8% of observations):</w:t>
      </w:r>
      <w:r>
        <w:rPr>
          <w:rFonts w:ascii="Calibri" w:cs="Calibri" w:eastAsia="Calibri" w:hAnsi="Calibri"/>
          <w:color w:val="0F172A"/>
          <w:sz w:val="22"/>
          <w:szCs w:val="22"/>
        </w:rPr>
        <w:t xml:space="preserve"> Low emissions intensity, low PUE, good Scope 3 management. Occupied only by Google in 2023–2024, on the basis of operational efficiency metrics — not pledge delivery.</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Follower (25% of observations):</w:t>
      </w:r>
      <w:r>
        <w:rPr>
          <w:rFonts w:ascii="Calibri" w:cs="Calibri" w:eastAsia="Calibri" w:hAnsi="Calibri"/>
          <w:color w:val="0F172A"/>
          <w:sz w:val="22"/>
          <w:szCs w:val="22"/>
        </w:rPr>
        <w:t xml:space="preserve"> Best pledge credibility and highest PPA per capex. Occupied by Amazon throughout 2019–2024, reflecting its stronger record on forward clean energy commitments relative to its own targets.</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Laggard (67% of observations):</w:t>
      </w:r>
      <w:r>
        <w:rPr>
          <w:rFonts w:ascii="Calibri" w:cs="Calibri" w:eastAsia="Calibri" w:hAnsi="Calibri"/>
          <w:color w:val="0F172A"/>
          <w:sz w:val="22"/>
          <w:szCs w:val="22"/>
        </w:rPr>
        <w:t xml:space="preserve"> Underperforming across multiple dimensions. Google (2019–2022), Microsoft (2019–2024), and Meta (2019–2024) all fall in this cluster. Microsoft's Scope 3 at 95% of total GHG and a pledge gap exceeding 30 percentage points in multiple years are the defining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991B1B" w:sz="18"/>
              <w:bottom w:val="single" w:color="E2E8F0" w:sz="1"/>
              <w:right w:val="single" w:color="E2E8F0" w:sz="1"/>
            </w:tcBorders>
            <w:shd w:fill="FEE2E2" w:val="clear"/>
            <w:tcMar>
              <w:top w:type="dxa" w:w="140"/>
              <w:left w:type="dxa" w:w="220"/>
              <w:bottom w:type="dxa" w:w="140"/>
              <w:right w:type="dxa" w:w="220"/>
            </w:tcMar>
          </w:tcPr>
          <w:p>
            <w:pPr>
              <w:spacing w:before="0" w:after="80"/>
            </w:pPr>
            <w:r>
              <w:rPr>
                <w:rFonts w:ascii="Calibri" w:cs="Calibri" w:eastAsia="Calibri" w:hAnsi="Calibri"/>
                <w:b/>
                <w:bCs/>
                <w:color w:val="991B1B"/>
                <w:sz w:val="20"/>
                <w:szCs w:val="20"/>
              </w:rPr>
              <w:t xml:space="preserve">THE CONVERGENCE FINDING</w:t>
            </w:r>
          </w:p>
          <w:p>
            <w:pPr>
              <w:spacing w:before="0" w:after="0"/>
            </w:pPr>
            <w:r>
              <w:rPr>
                <w:rFonts w:ascii="Calibri" w:cs="Calibri" w:eastAsia="Calibri" w:hAnsi="Calibri"/>
                <w:color w:val="0F172A"/>
                <w:sz w:val="20"/>
                <w:szCs w:val="20"/>
              </w:rPr>
              <w:t xml:space="preserve">By 2024, all four companies had converged to a sustainability score of 2/5 — regardless of their 2019 starting position or the ambition of their individual pledges. Microsoft began 2020 with a score of 5/5. Google, Meta, and Amazon were at 3–4/5. All four ended 2024 at 2/5. This convergence is the clearest possible evidence that the AI boom has created a systemic sustainability challenge that individual corporate action cannot solve.</w:t>
            </w:r>
          </w:p>
        </w:tc>
      </w:tr>
    </w:tbl>
    <w:p>
      <w:pPr>
        <w:pStyle w:val="Heading2"/>
        <w:spacing w:before="360" w:after="160"/>
      </w:pPr>
      <w:r>
        <w:rPr>
          <w:rFonts w:ascii="Calibri" w:cs="Calibri" w:eastAsia="Calibri" w:hAnsi="Calibri"/>
          <w:b/>
          <w:bCs/>
          <w:color w:val="1D4ED8"/>
          <w:sz w:val="28"/>
          <w:szCs w:val="28"/>
        </w:rPr>
        <w:t xml:space="preserve">3.5 Four Sustainability Archetypes</w:t>
      </w:r>
    </w:p>
    <w:p>
      <w:pPr>
        <w:spacing w:before="0" w:after="180" w:line="288"/>
        <w:jc w:val="left"/>
      </w:pPr>
      <w:r>
        <w:rPr>
          <w:rFonts w:ascii="Calibri" w:cs="Calibri" w:eastAsia="Calibri" w:hAnsi="Calibri"/>
          <w:color w:val="0F172A"/>
          <w:sz w:val="22"/>
          <w:szCs w:val="22"/>
        </w:rPr>
        <w:t xml:space="preserve">PCA analysis preserving 74.9% of feature variance reveals that no company excels across all five sustainability dimensions. PC1 (54.6%) captures operational efficiency; PC2 (20.2%) captures supply chain accountability. The resulting profiles define four distinct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600"/>
        <w:gridCol w:w="1400"/>
        <w:gridCol w:w="2980"/>
        <w:gridCol w:w="2380"/>
      </w:tblGrid>
      <w:tr>
        <w:trPr>
          <w:tblHeader/>
        </w:trPr>
        <w:tc>
          <w:tcPr>
            <w:tcW w:type="dxa" w:w="2600"/>
            <w:tcBorders>
              <w:top w:val="single" w:color="E2E8F0" w:sz="1"/>
              <w:left w:val="single" w:color="E2E8F0" w:sz="1"/>
              <w:bottom w:val="single" w:color="E2E8F0" w:sz="1"/>
              <w:right w:val="single" w:color="E2E8F0" w:sz="1"/>
            </w:tcBorders>
            <w:shd w:fill="4C1D9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Archetype</w:t>
            </w:r>
          </w:p>
        </w:tc>
        <w:tc>
          <w:tcPr>
            <w:tcW w:type="dxa" w:w="1400"/>
            <w:tcBorders>
              <w:top w:val="single" w:color="E2E8F0" w:sz="1"/>
              <w:left w:val="single" w:color="E2E8F0" w:sz="1"/>
              <w:bottom w:val="single" w:color="E2E8F0" w:sz="1"/>
              <w:right w:val="single" w:color="E2E8F0" w:sz="1"/>
            </w:tcBorders>
            <w:shd w:fill="4C1D9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Company</w:t>
            </w:r>
          </w:p>
        </w:tc>
        <w:tc>
          <w:tcPr>
            <w:tcW w:type="dxa" w:w="2980"/>
            <w:tcBorders>
              <w:top w:val="single" w:color="E2E8F0" w:sz="1"/>
              <w:left w:val="single" w:color="E2E8F0" w:sz="1"/>
              <w:bottom w:val="single" w:color="E2E8F0" w:sz="1"/>
              <w:right w:val="single" w:color="E2E8F0" w:sz="1"/>
            </w:tcBorders>
            <w:shd w:fill="4C1D9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Strength</w:t>
            </w:r>
          </w:p>
        </w:tc>
        <w:tc>
          <w:tcPr>
            <w:tcW w:type="dxa" w:w="2380"/>
            <w:tcBorders>
              <w:top w:val="single" w:color="E2E8F0" w:sz="1"/>
              <w:left w:val="single" w:color="E2E8F0" w:sz="1"/>
              <w:bottom w:val="single" w:color="E2E8F0" w:sz="1"/>
              <w:right w:val="single" w:color="E2E8F0" w:sz="1"/>
            </w:tcBorders>
            <w:shd w:fill="4C1D9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Weakness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Operational Efficiency Leader</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Google</w:t>
            </w:r>
          </w:p>
        </w:tc>
        <w:tc>
          <w:tcPr>
            <w:tcW w:type="dxa" w:w="29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Emissions intensity (1.0), PUE (1.0), Scope 3 (1.0)</w:t>
            </w:r>
          </w:p>
        </w:tc>
        <w:tc>
          <w:tcPr>
            <w:tcW w:type="dxa" w:w="2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Clean energy commitment (0.0) — lowest PPA/capex ratio</w:t>
            </w:r>
          </w:p>
        </w:tc>
      </w:tr>
      <w:tr>
        <w:tc>
          <w:tcPr>
            <w:tcW w:type="dxa" w:w="2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Forward Commitment Leader</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Microsoft</w:t>
            </w:r>
          </w:p>
        </w:tc>
        <w:tc>
          <w:tcPr>
            <w:tcW w:type="dxa" w:w="29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Clean energy commitment (1.0) — highest PPA/capex</w:t>
            </w:r>
          </w:p>
        </w:tc>
        <w:tc>
          <w:tcPr>
            <w:tcW w:type="dxa" w:w="23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Pledge credibility (0.0), Scope 3 management (0.0)</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Pledge Delivery Leader</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Amazon</w:t>
            </w:r>
          </w:p>
        </w:tc>
        <w:tc>
          <w:tcPr>
            <w:tcW w:type="dxa" w:w="29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Pledge credibility (1.0) — closest to own targets</w:t>
            </w:r>
          </w:p>
        </w:tc>
        <w:tc>
          <w:tcPr>
            <w:tcW w:type="dxa" w:w="2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Emissions efficiency (0.0), infrastructure efficiency (0.0)</w:t>
            </w:r>
          </w:p>
        </w:tc>
      </w:tr>
      <w:tr>
        <w:tc>
          <w:tcPr>
            <w:tcW w:type="dxa" w:w="2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Infrastructure Efficiency Leader</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Meta</w:t>
            </w:r>
          </w:p>
        </w:tc>
        <w:tc>
          <w:tcPr>
            <w:tcW w:type="dxa" w:w="29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PUE (1.0), emissions efficiency (0.77)</w:t>
            </w:r>
          </w:p>
        </w:tc>
        <w:tc>
          <w:tcPr>
            <w:tcW w:type="dxa" w:w="23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Scope 3 management (0.1) — worst supply chain accountability</w:t>
            </w:r>
          </w:p>
        </w:tc>
      </w:tr>
    </w:tbl>
    <w:p>
      <w:pPr>
        <w:spacing w:before="0" w:after="180" w:line="288"/>
        <w:jc w:val="left"/>
      </w:pPr>
      <w:r>
        <w:rPr>
          <w:rFonts w:ascii="Calibri" w:cs="Calibri" w:eastAsia="Calibri" w:hAnsi="Calibri"/>
          <w:color w:val="0F172A"/>
          <w:sz w:val="22"/>
          <w:szCs w:val="22"/>
        </w:rPr>
        <w:t xml:space="preserve">The key consulting insight from this analysis: the industry collectively possesses the knowledge and technology to build one genuinely sustainable hyperscaler — Google's operational efficiency, Microsoft's clean energy contracting, Amazon's pledge delivery, and Meta's PUE infrastructure. No individual company has assembled all four capabilities simultaneously.</w:t>
      </w:r>
    </w:p>
    <w:p>
      <w:pPr>
        <w:spacing w:before="0" w:after="0"/>
      </w:pPr>
      <w:r>
        <w:br w:type="page"/>
      </w:r>
    </w:p>
    <w:p>
      <w:pPr>
        <w:spacing w:before="0" w:after="80"/>
      </w:pPr>
      <w:r>
        <w:rPr>
          <w:rFonts w:ascii="Calibri" w:cs="Calibri" w:eastAsia="Calibri" w:hAnsi="Calibri"/>
          <w:b/>
          <w:bCs/>
          <w:color w:val="1E3A5F"/>
          <w:spacing w:val="40"/>
          <w:sz w:val="18"/>
          <w:szCs w:val="18"/>
        </w:rPr>
        <w:t xml:space="preserve">ACT III</w:t>
      </w:r>
    </w:p>
    <w:p>
      <w:pPr>
        <w:pStyle w:val="Heading1"/>
        <w:pBdr>
          <w:bottom w:val="single" w:color="1E3A5F" w:sz="4" w:space="4"/>
        </w:pBdr>
        <w:spacing w:before="480" w:after="200"/>
      </w:pPr>
      <w:r>
        <w:rPr>
          <w:rFonts w:ascii="Calibri" w:cs="Calibri" w:eastAsia="Calibri" w:hAnsi="Calibri"/>
          <w:b/>
          <w:bCs/>
          <w:color w:val="1E3A5F"/>
          <w:sz w:val="36"/>
          <w:szCs w:val="36"/>
        </w:rPr>
        <w:t xml:space="preserve">4. The Decision Point: What Happens Next</w:t>
      </w:r>
    </w:p>
    <w:p>
      <w:pPr>
        <w:pStyle w:val="Heading2"/>
        <w:spacing w:before="360" w:after="160"/>
      </w:pPr>
      <w:r>
        <w:rPr>
          <w:rFonts w:ascii="Calibri" w:cs="Calibri" w:eastAsia="Calibri" w:hAnsi="Calibri"/>
          <w:b/>
          <w:bCs/>
          <w:color w:val="1D4ED8"/>
          <w:sz w:val="28"/>
          <w:szCs w:val="28"/>
        </w:rPr>
        <w:t xml:space="preserve">4.1 Forecast Scenarios to 2030</w:t>
      </w:r>
    </w:p>
    <w:p>
      <w:pPr>
        <w:spacing w:before="0" w:after="180" w:line="288"/>
        <w:jc w:val="left"/>
      </w:pPr>
      <w:r>
        <w:rPr>
          <w:rFonts w:ascii="Calibri" w:cs="Calibri" w:eastAsia="Calibri" w:hAnsi="Calibri"/>
          <w:color w:val="0F172A"/>
          <w:sz w:val="22"/>
          <w:szCs w:val="22"/>
        </w:rPr>
        <w:t xml:space="preserve">Two forward scenarios, calibrated to IEA published anchor points and validated against IEA figures within 15 TWh at every forecast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60"/>
        <w:gridCol w:w="1400"/>
        <w:gridCol w:w="1200"/>
        <w:gridCol w:w="1400"/>
        <w:gridCol w:w="1200"/>
        <w:gridCol w:w="1200"/>
      </w:tblGrid>
      <w:tr>
        <w:trPr>
          <w:tblHeader/>
        </w:trPr>
        <w:tc>
          <w:tcPr>
            <w:tcW w:type="dxa" w:w="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Year</w:t>
            </w:r>
          </w:p>
        </w:tc>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Base Case (TWh)</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IEA Base</w:t>
            </w:r>
          </w:p>
        </w:tc>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Accelerated (TWh)</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IEA Lift-Off</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Gap (TWh)</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2025</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510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560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560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50</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2026</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581</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590</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664</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670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83</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2027</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660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680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778</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790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118</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2028</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747</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760</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905</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920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158</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2029</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842</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850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1,045</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1,060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203</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2030</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945</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945</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1,200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1,200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255</w:t>
            </w:r>
          </w:p>
        </w:tc>
      </w:tr>
    </w:tbl>
    <w:p>
      <w:pPr>
        <w:spacing w:before="0" w:after="180" w:line="288"/>
        <w:jc w:val="left"/>
      </w:pPr>
      <w:r>
        <w:rPr>
          <w:rFonts w:ascii="Calibri" w:cs="Calibri" w:eastAsia="Calibri" w:hAnsi="Calibri"/>
          <w:color w:val="0F172A"/>
          <w:sz w:val="22"/>
          <w:szCs w:val="22"/>
        </w:rPr>
        <w:t xml:space="preserve">The </w:t>
      </w:r>
      <w:r>
        <w:rPr>
          <w:rFonts w:ascii="Calibri" w:cs="Calibri" w:eastAsia="Calibri" w:hAnsi="Calibri"/>
          <w:b/>
          <w:bCs/>
          <w:color w:val="0F172A"/>
          <w:sz w:val="22"/>
          <w:szCs w:val="22"/>
        </w:rPr>
        <w:t xml:space="preserve">Base Case</w:t>
      </w:r>
      <w:r>
        <w:rPr>
          <w:rFonts w:ascii="Calibri" w:cs="Calibri" w:eastAsia="Calibri" w:hAnsi="Calibri"/>
          <w:color w:val="0F172A"/>
          <w:sz w:val="22"/>
          <w:szCs w:val="22"/>
        </w:rPr>
        <w:t xml:space="preserve"> assumes moderate AI growth with gradual efficiency improvements, calibrated to the IEA's published Base Case. The </w:t>
      </w:r>
      <w:r>
        <w:rPr>
          <w:rFonts w:ascii="Calibri" w:cs="Calibri" w:eastAsia="Calibri" w:hAnsi="Calibri"/>
          <w:b/>
          <w:bCs/>
          <w:color w:val="0F172A"/>
          <w:sz w:val="22"/>
          <w:szCs w:val="22"/>
        </w:rPr>
        <w:t xml:space="preserve">Accelerated Case</w:t>
      </w:r>
      <w:r>
        <w:rPr>
          <w:rFonts w:ascii="Calibri" w:cs="Calibri" w:eastAsia="Calibri" w:hAnsi="Calibri"/>
          <w:color w:val="0F172A"/>
          <w:sz w:val="22"/>
          <w:szCs w:val="22"/>
        </w:rPr>
        <w:t xml:space="preserve"> assumes faster AI adoption, dominant reasoning models, and hyperscale buildout exceeding the current 770-facility pipeline, calibrated to the IEA Lift-Off scenario.</w:t>
      </w:r>
    </w:p>
    <w:p>
      <w:pPr>
        <w:spacing w:before="0" w:after="180" w:line="288"/>
        <w:jc w:val="left"/>
      </w:pPr>
      <w:r>
        <w:rPr>
          <w:rFonts w:ascii="Calibri" w:cs="Calibri" w:eastAsia="Calibri" w:hAnsi="Calibri"/>
          <w:color w:val="0F172A"/>
          <w:sz w:val="22"/>
          <w:szCs w:val="22"/>
        </w:rPr>
        <w:t xml:space="preserve">The 255 TWh gap between scenarios by 2030 is equivalent to the UK's entire annual electricity consumption. The decisions made between now and 2027 — on model architecture, DC siting, clean energy contracting, and regulatory requirements — will determine which scenario materialises. The polynomial growth model underlying both forecasts achieved R²=0.9935 on historical data, with growth rate 15.7% per year from 2022–2024 and an acceleration coefficient of +3.88 TWh per year squared.</w:t>
      </w:r>
    </w:p>
    <w:p>
      <w:pPr>
        <w:pStyle w:val="Heading2"/>
        <w:spacing w:before="360" w:after="160"/>
      </w:pPr>
      <w:r>
        <w:rPr>
          <w:rFonts w:ascii="Calibri" w:cs="Calibri" w:eastAsia="Calibri" w:hAnsi="Calibri"/>
          <w:b/>
          <w:bCs/>
          <w:color w:val="1D4ED8"/>
          <w:sz w:val="28"/>
          <w:szCs w:val="28"/>
        </w:rPr>
        <w:t xml:space="preserve">4.2 The Renewable Energy Gap</w:t>
      </w:r>
    </w:p>
    <w:p>
      <w:pPr>
        <w:spacing w:before="0" w:after="180" w:line="288"/>
        <w:jc w:val="left"/>
      </w:pPr>
      <w:r>
        <w:rPr>
          <w:rFonts w:ascii="Calibri" w:cs="Calibri" w:eastAsia="Calibri" w:hAnsi="Calibri"/>
          <w:color w:val="0F172A"/>
          <w:sz w:val="22"/>
          <w:szCs w:val="22"/>
        </w:rPr>
        <w:t xml:space="preserve">Even under optimistic renewable procurement assumptions, clean energy coverage will fall short of IEA net zero requirements by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991B1B" w:sz="18"/>
              <w:bottom w:val="single" w:color="E2E8F0" w:sz="1"/>
              <w:right w:val="single" w:color="E2E8F0" w:sz="1"/>
            </w:tcBorders>
            <w:shd w:fill="FEE2E2" w:val="clear"/>
            <w:tcMar>
              <w:top w:type="dxa" w:w="140"/>
              <w:left w:type="dxa" w:w="220"/>
              <w:bottom w:type="dxa" w:w="140"/>
              <w:right w:type="dxa" w:w="220"/>
            </w:tcMar>
          </w:tcPr>
          <w:p>
            <w:pPr>
              <w:spacing w:before="0" w:after="80"/>
            </w:pPr>
            <w:r>
              <w:rPr>
                <w:rFonts w:ascii="Calibri" w:cs="Calibri" w:eastAsia="Calibri" w:hAnsi="Calibri"/>
                <w:b/>
                <w:bCs/>
                <w:color w:val="991B1B"/>
                <w:sz w:val="20"/>
                <w:szCs w:val="20"/>
              </w:rPr>
              <w:t xml:space="preserve">THE RENEWABLE ENERGY GAP AT 2030</w:t>
            </w:r>
          </w:p>
          <w:p>
            <w:pPr>
              <w:spacing w:before="0" w:after="0"/>
            </w:pPr>
            <w:r>
              <w:rPr>
                <w:rFonts w:ascii="Calibri" w:cs="Calibri" w:eastAsia="Calibri" w:hAnsi="Calibri"/>
                <w:color w:val="0F172A"/>
                <w:sz w:val="20"/>
                <w:szCs w:val="20"/>
              </w:rPr>
              <w:t xml:space="preserve">Projected renewable %: 78%  |  IEA NZE requirement: 90%  |  Gap: 12 percentage points
In absolute terms, this 12%pt gap represents approximately 113 TWh of DC electricity with no clean energy coverage in the Base Case — and approximately 144 TWh in the Accelerated Case. This is before accounting for the difference between annual certificate matching and genuine 24/7 carbon-free energy, which likely doubles the real-world gap.</w:t>
            </w:r>
          </w:p>
        </w:tc>
      </w:tr>
    </w:tbl>
    <w:p>
      <w:pPr>
        <w:spacing w:before="0" w:after="180" w:line="288"/>
        <w:jc w:val="left"/>
      </w:pPr>
      <w:r>
        <w:rPr>
          <w:rFonts w:ascii="Calibri" w:cs="Calibri" w:eastAsia="Calibri" w:hAnsi="Calibri"/>
          <w:color w:val="0F172A"/>
          <w:sz w:val="22"/>
          <w:szCs w:val="22"/>
        </w:rPr>
        <w:t xml:space="preserve">The gap compounds over time. In 2025, the shortfall is an estimated 15 TWh. By 2030, it reaches 94 TWh in the Base Case. Every year of insufficient clean energy contracting creates a larger deficit to close.</w:t>
      </w:r>
    </w:p>
    <w:p>
      <w:pPr>
        <w:pStyle w:val="Heading2"/>
        <w:spacing w:before="360" w:after="160"/>
      </w:pPr>
      <w:r>
        <w:rPr>
          <w:rFonts w:ascii="Calibri" w:cs="Calibri" w:eastAsia="Calibri" w:hAnsi="Calibri"/>
          <w:b/>
          <w:bCs/>
          <w:color w:val="1D4ED8"/>
          <w:sz w:val="28"/>
          <w:szCs w:val="28"/>
        </w:rPr>
        <w:t xml:space="preserve">4.3 The Location Carbon Arbitrage</w:t>
      </w:r>
    </w:p>
    <w:p>
      <w:pPr>
        <w:spacing w:before="0" w:after="180" w:line="288"/>
        <w:jc w:val="left"/>
      </w:pPr>
      <w:r>
        <w:rPr>
          <w:rFonts w:ascii="Calibri" w:cs="Calibri" w:eastAsia="Calibri" w:hAnsi="Calibri"/>
          <w:color w:val="0F172A"/>
          <w:sz w:val="22"/>
          <w:szCs w:val="22"/>
        </w:rPr>
        <w:t xml:space="preserve">The most immediately actionable sustainability lever available to the AI industry is one that requires no new technology, no regulatory change, and no capital investment: choosing where to locate AI compute workloads. The carbon intensity of the grid where a data center draws power has a larger impact on its emissions than any combination of efficiency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200"/>
        <w:gridCol w:w="2600"/>
        <w:gridCol w:w="1600"/>
        <w:gridCol w:w="1760"/>
        <w:gridCol w:w="2200"/>
      </w:tblGrid>
      <w:tr>
        <w:trPr>
          <w:tblHeader/>
        </w:trPr>
        <w:tc>
          <w:tcPr>
            <w:tcW w:type="dxa" w:w="12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Tier</w:t>
            </w:r>
          </w:p>
        </w:tc>
        <w:tc>
          <w:tcPr>
            <w:tcW w:type="dxa" w:w="26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Region</w:t>
            </w:r>
          </w:p>
        </w:tc>
        <w:tc>
          <w:tcPr>
            <w:tcW w:type="dxa" w:w="16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2024 gCO₂/kWh</w:t>
            </w:r>
          </w:p>
        </w:tc>
        <w:tc>
          <w:tcPr>
            <w:tcW w:type="dxa" w:w="176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CO₂e per TWh (kt)</w:t>
            </w:r>
          </w:p>
        </w:tc>
        <w:tc>
          <w:tcPr>
            <w:tcW w:type="dxa" w:w="22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Saving vs India</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Clean</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Canada West (hydro)</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621 kt</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Clean</w:t>
            </w:r>
          </w:p>
        </w:tc>
        <w:tc>
          <w:tcPr>
            <w:tcW w:type="dxa" w:w="2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Canada East (hydro)</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615 kt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Clean</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Sweden (hydro+nuclear)</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17</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17</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613 kt</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Clean</w:t>
            </w:r>
          </w:p>
        </w:tc>
        <w:tc>
          <w:tcPr>
            <w:tcW w:type="dxa" w:w="2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France (nuclear)</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45</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45</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585 kt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Moderate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US Pacific NW (hydro)</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110</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520 kt</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Moderate</w:t>
            </w:r>
          </w:p>
        </w:tc>
        <w:tc>
          <w:tcPr>
            <w:tcW w:type="dxa" w:w="2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UK</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148</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148</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482 kt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High</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US Virginia (VACAR)</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320</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320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310 kt</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High</w:t>
            </w:r>
          </w:p>
        </w:tc>
        <w:tc>
          <w:tcPr>
            <w:tcW w:type="dxa" w:w="2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Germany</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350</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350</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280 kt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Critical</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China</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520</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520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110 kt</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Critical</w:t>
            </w:r>
          </w:p>
        </w:tc>
        <w:tc>
          <w:tcPr>
            <w:tcW w:type="dxa" w:w="2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India</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630</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630</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baseline</w:t>
            </w:r>
          </w:p>
        </w:tc>
      </w:tr>
    </w:tbl>
    <w:p>
      <w:pPr>
        <w:spacing w:before="0" w:after="180" w:line="288"/>
        <w:jc w:val="left"/>
      </w:pPr>
      <w:r>
        <w:rPr>
          <w:rFonts w:ascii="Calibri" w:cs="Calibri" w:eastAsia="Calibri" w:hAnsi="Calibri"/>
          <w:color w:val="0F172A"/>
          <w:sz w:val="22"/>
          <w:szCs w:val="22"/>
        </w:rPr>
        <w:t xml:space="preserve">The strategic implications of this table are significant. Virginia — the world's largest data center market, hosting over 50% of US hyperscale capacity — operates at 320 gCO₂/kWh, 35× worse than Canada West. Running equivalent AI training workloads in Canada West versus Virginia produces </w:t>
      </w:r>
      <w:r>
        <w:rPr>
          <w:rFonts w:ascii="Calibri" w:cs="Calibri" w:eastAsia="Calibri" w:hAnsi="Calibri"/>
          <w:b/>
          <w:bCs/>
          <w:color w:val="0F172A"/>
          <w:sz w:val="22"/>
          <w:szCs w:val="22"/>
        </w:rPr>
        <w:t xml:space="preserve">35× less carbon per unit of compute.</w:t>
      </w:r>
      <w:r>
        <w:rPr>
          <w:rFonts w:ascii="Calibri" w:cs="Calibri" w:eastAsia="Calibri" w:hAnsi="Calibri"/>
          <w:color w:val="0F172A"/>
          <w:sz w:val="22"/>
          <w:szCs w:val="22"/>
        </w:rPr>
        <w:t xml:space="preserve"> Running them in Canada West versus India produces </w:t>
      </w:r>
      <w:r>
        <w:rPr>
          <w:rFonts w:ascii="Calibri" w:cs="Calibri" w:eastAsia="Calibri" w:hAnsi="Calibri"/>
          <w:b/>
          <w:bCs/>
          <w:color w:val="0F172A"/>
          <w:sz w:val="22"/>
          <w:szCs w:val="22"/>
        </w:rPr>
        <w:t xml:space="preserve">70× less.</w:t>
      </w:r>
      <w:r>
        <w:rPr>
          <w:rFonts w:ascii="Calibri" w:cs="Calibri" w:eastAsia="Calibri" w:hAnsi="Calibri"/>
          <w:color w:val="0F172A"/>
          <w:sz w:val="22"/>
          <w:szCs w:val="22"/>
        </w:rPr>
        <w:t xml:space="preserve"/>
      </w:r>
    </w:p>
    <w:p>
      <w:pPr>
        <w:spacing w:before="0" w:after="180" w:line="288"/>
        <w:jc w:val="left"/>
      </w:pPr>
      <w:r>
        <w:rPr>
          <w:rFonts w:ascii="Calibri" w:cs="Calibri" w:eastAsia="Calibri" w:hAnsi="Calibri"/>
          <w:color w:val="0F172A"/>
          <w:sz w:val="22"/>
          <w:szCs w:val="22"/>
        </w:rPr>
        <w:t xml:space="preserve">For a specific service: running ChatGPT's inference workloads from France rather than a US-average grid would save </w:t>
      </w:r>
      <w:r>
        <w:rPr>
          <w:rFonts w:ascii="Calibri" w:cs="Calibri" w:eastAsia="Calibri" w:hAnsi="Calibri"/>
          <w:b/>
          <w:bCs/>
          <w:color w:val="0F172A"/>
          <w:sz w:val="22"/>
          <w:szCs w:val="22"/>
        </w:rPr>
        <w:t xml:space="preserve">36,800 tonnes of CO₂e per year</w:t>
      </w:r>
      <w:r>
        <w:rPr>
          <w:rFonts w:ascii="Calibri" w:cs="Calibri" w:eastAsia="Calibri" w:hAnsi="Calibri"/>
          <w:color w:val="0F172A"/>
          <w:sz w:val="22"/>
          <w:szCs w:val="22"/>
        </w:rPr>
        <w:t xml:space="preserve"> — equivalent to removing 8,000 cars from the road — at no additional cost beyond workload routing decisions. This is not a marginal improvement; it is a structural opportunity that the industry is systematically failing to exploit.</w:t>
      </w:r>
    </w:p>
    <w:p>
      <w:pPr>
        <w:pStyle w:val="Heading2"/>
        <w:spacing w:before="360" w:after="160"/>
      </w:pPr>
      <w:r>
        <w:rPr>
          <w:rFonts w:ascii="Calibri" w:cs="Calibri" w:eastAsia="Calibri" w:hAnsi="Calibri"/>
          <w:b/>
          <w:bCs/>
          <w:color w:val="1D4ED8"/>
          <w:sz w:val="28"/>
          <w:szCs w:val="28"/>
        </w:rPr>
        <w:t xml:space="preserve">4.4 The Investment Gap</w:t>
      </w:r>
    </w:p>
    <w:p>
      <w:pPr>
        <w:spacing w:before="0" w:after="180" w:line="288"/>
        <w:jc w:val="left"/>
      </w:pPr>
      <w:r>
        <w:rPr>
          <w:rFonts w:ascii="Calibri" w:cs="Calibri" w:eastAsia="Calibri" w:hAnsi="Calibri"/>
          <w:color w:val="0F172A"/>
          <w:sz w:val="22"/>
          <w:szCs w:val="22"/>
        </w:rPr>
        <w:t xml:space="preserve">Closing the renewable energy gap to 2030 requires not just matching DC energy growth with renewable certificates, but contracting genuinely new, additional clean energy capacity. The quantified shortfall: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60"/>
        <w:gridCol w:w="1300"/>
        <w:gridCol w:w="1560"/>
        <w:gridCol w:w="1560"/>
        <w:gridCol w:w="1200"/>
        <w:gridCol w:w="2280"/>
      </w:tblGrid>
      <w:tr>
        <w:trPr>
          <w:tblHeader/>
        </w:trPr>
        <w:tc>
          <w:tcPr>
            <w:tcW w:type="dxa" w:w="960"/>
            <w:tcBorders>
              <w:top w:val="single" w:color="E2E8F0" w:sz="1"/>
              <w:left w:val="single" w:color="E2E8F0" w:sz="1"/>
              <w:bottom w:val="single" w:color="E2E8F0" w:sz="1"/>
              <w:right w:val="single" w:color="E2E8F0" w:sz="1"/>
            </w:tcBorders>
            <w:shd w:fill="065F46"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Year</w:t>
            </w:r>
          </w:p>
        </w:tc>
        <w:tc>
          <w:tcPr>
            <w:tcW w:type="dxa" w:w="1300"/>
            <w:tcBorders>
              <w:top w:val="single" w:color="E2E8F0" w:sz="1"/>
              <w:left w:val="single" w:color="E2E8F0" w:sz="1"/>
              <w:bottom w:val="single" w:color="E2E8F0" w:sz="1"/>
              <w:right w:val="single" w:color="E2E8F0" w:sz="1"/>
            </w:tcBorders>
            <w:shd w:fill="065F46"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DC Capex ($B)</w:t>
            </w:r>
          </w:p>
        </w:tc>
        <w:tc>
          <w:tcPr>
            <w:tcW w:type="dxa" w:w="1560"/>
            <w:tcBorders>
              <w:top w:val="single" w:color="E2E8F0" w:sz="1"/>
              <w:left w:val="single" w:color="E2E8F0" w:sz="1"/>
              <w:bottom w:val="single" w:color="E2E8F0" w:sz="1"/>
              <w:right w:val="single" w:color="E2E8F0" w:sz="1"/>
            </w:tcBorders>
            <w:shd w:fill="065F46"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Clean Needed (TWh)</w:t>
            </w:r>
          </w:p>
        </w:tc>
        <w:tc>
          <w:tcPr>
            <w:tcW w:type="dxa" w:w="1560"/>
            <w:tcBorders>
              <w:top w:val="single" w:color="E2E8F0" w:sz="1"/>
              <w:left w:val="single" w:color="E2E8F0" w:sz="1"/>
              <w:bottom w:val="single" w:color="E2E8F0" w:sz="1"/>
              <w:right w:val="single" w:color="E2E8F0" w:sz="1"/>
            </w:tcBorders>
            <w:shd w:fill="065F46"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Clean Projected (TWh)</w:t>
            </w:r>
          </w:p>
        </w:tc>
        <w:tc>
          <w:tcPr>
            <w:tcW w:type="dxa" w:w="1200"/>
            <w:tcBorders>
              <w:top w:val="single" w:color="E2E8F0" w:sz="1"/>
              <w:left w:val="single" w:color="E2E8F0" w:sz="1"/>
              <w:bottom w:val="single" w:color="E2E8F0" w:sz="1"/>
              <w:right w:val="single" w:color="E2E8F0" w:sz="1"/>
            </w:tcBorders>
            <w:shd w:fill="065F46"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Gap (TWh)</w:t>
            </w:r>
          </w:p>
        </w:tc>
        <w:tc>
          <w:tcPr>
            <w:tcW w:type="dxa" w:w="2280"/>
            <w:tcBorders>
              <w:top w:val="single" w:color="E2E8F0" w:sz="1"/>
              <w:left w:val="single" w:color="E2E8F0" w:sz="1"/>
              <w:bottom w:val="single" w:color="E2E8F0" w:sz="1"/>
              <w:right w:val="single" w:color="E2E8F0" w:sz="1"/>
            </w:tcBorders>
            <w:shd w:fill="065F46"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Investment Gap ($B)</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2025</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$630B</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280</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265</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w:t>
            </w:r>
          </w:p>
        </w:tc>
        <w:tc>
          <w:tcPr>
            <w:tcW w:type="dxa" w:w="2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$38B</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2026</w:t>
            </w:r>
          </w:p>
        </w:tc>
        <w:tc>
          <w:tcPr>
            <w:tcW w:type="dxa" w:w="13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$770B</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354</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330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24</w:t>
            </w:r>
          </w:p>
        </w:tc>
        <w:tc>
          <w:tcPr>
            <w:tcW w:type="dxa" w:w="2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$59B</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2027</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$900B</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442</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408</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34</w:t>
            </w:r>
          </w:p>
        </w:tc>
        <w:tc>
          <w:tcPr>
            <w:tcW w:type="dxa" w:w="2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$85B</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2028</w:t>
            </w:r>
          </w:p>
        </w:tc>
        <w:tc>
          <w:tcPr>
            <w:tcW w:type="dxa" w:w="13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$1,040B</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532</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486</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46</w:t>
            </w:r>
          </w:p>
        </w:tc>
        <w:tc>
          <w:tcPr>
            <w:tcW w:type="dxa" w:w="2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$114B</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2029</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$1,150B</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638</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570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68</w:t>
            </w:r>
          </w:p>
        </w:tc>
        <w:tc>
          <w:tcPr>
            <w:tcW w:type="dxa" w:w="2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$170B</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2030</w:t>
            </w:r>
          </w:p>
        </w:tc>
        <w:tc>
          <w:tcPr>
            <w:tcW w:type="dxa" w:w="13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$1,380B</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756</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662</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94</w:t>
            </w:r>
          </w:p>
        </w:tc>
        <w:tc>
          <w:tcPr>
            <w:tcW w:type="dxa" w:w="2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$236B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991B1B" w:sz="18"/>
              <w:bottom w:val="single" w:color="E2E8F0" w:sz="1"/>
              <w:right w:val="single" w:color="E2E8F0" w:sz="1"/>
            </w:tcBorders>
            <w:shd w:fill="FEE2E2" w:val="clear"/>
            <w:tcMar>
              <w:top w:type="dxa" w:w="140"/>
              <w:left w:type="dxa" w:w="220"/>
              <w:bottom w:type="dxa" w:w="140"/>
              <w:right w:type="dxa" w:w="220"/>
            </w:tcMar>
          </w:tcPr>
          <w:p>
            <w:pPr>
              <w:spacing w:before="0" w:after="80"/>
            </w:pPr>
            <w:r>
              <w:rPr>
                <w:rFonts w:ascii="Calibri" w:cs="Calibri" w:eastAsia="Calibri" w:hAnsi="Calibri"/>
                <w:b/>
                <w:bCs/>
                <w:color w:val="991B1B"/>
                <w:sz w:val="20"/>
                <w:szCs w:val="20"/>
              </w:rPr>
              <w:t xml:space="preserve">THE $703B SHORTFALL</w:t>
            </w:r>
          </w:p>
          <w:p>
            <w:pPr>
              <w:spacing w:before="0" w:after="0"/>
            </w:pPr>
            <w:r>
              <w:rPr>
                <w:rFonts w:ascii="Calibri" w:cs="Calibri" w:eastAsia="Calibri" w:hAnsi="Calibri"/>
                <w:color w:val="0F172A"/>
                <w:sz w:val="20"/>
                <w:szCs w:val="20"/>
              </w:rPr>
              <w:t xml:space="preserve">Cumulative 2025–2030 clean energy gap: 281 TWh  |  Implied investment shortfall: $703B  |  Annual average: $117B per year
For context: $117B per year is three times the annual rate of the US Inflation Reduction Act's clean energy investment provisions. Closing this gap would require clean energy investment at a scale that has no precedent in the history of the energy transition.</w:t>
            </w:r>
          </w:p>
        </w:tc>
      </w:tr>
    </w:tbl>
    <w:p>
      <w:pPr>
        <w:spacing w:before="0" w:after="0"/>
      </w:pPr>
      <w:r>
        <w:br w:type="page"/>
      </w:r>
    </w:p>
    <w:p>
      <w:pPr>
        <w:pStyle w:val="Heading1"/>
        <w:pBdr>
          <w:bottom w:val="single" w:color="1E3A5F" w:sz="4" w:space="4"/>
        </w:pBdr>
        <w:spacing w:before="480" w:after="200"/>
      </w:pPr>
      <w:r>
        <w:rPr>
          <w:rFonts w:ascii="Calibri" w:cs="Calibri" w:eastAsia="Calibri" w:hAnsi="Calibri"/>
          <w:b/>
          <w:bCs/>
          <w:color w:val="1E3A5F"/>
          <w:sz w:val="36"/>
          <w:szCs w:val="36"/>
        </w:rPr>
        <w:t xml:space="preserve">5. Strategic Recommendations</w:t>
      </w:r>
    </w:p>
    <w:p>
      <w:pPr>
        <w:spacing w:before="0" w:after="180" w:line="288"/>
        <w:jc w:val="left"/>
      </w:pPr>
      <w:r>
        <w:rPr>
          <w:rFonts w:ascii="Calibri" w:cs="Calibri" w:eastAsia="Calibri" w:hAnsi="Calibri"/>
          <w:color w:val="0F172A"/>
          <w:sz w:val="22"/>
          <w:szCs w:val="22"/>
        </w:rPr>
        <w:t xml:space="preserve">Five recommendations follow directly from the analytical findings. Each is specific, quantified, and targeted at a clear owner. Each is traceable to a specific exhibit or model output in this report.</w:t>
      </w:r>
    </w:p>
    <w:p>
      <w:pPr>
        <w:pStyle w:val="Heading2"/>
        <w:spacing w:before="360" w:after="160"/>
      </w:pPr>
      <w:r>
        <w:rPr>
          <w:rFonts w:ascii="Calibri" w:cs="Calibri" w:eastAsia="Calibri" w:hAnsi="Calibri"/>
          <w:b/>
          <w:bCs/>
          <w:color w:val="1D4ED8"/>
          <w:sz w:val="28"/>
          <w:szCs w:val="28"/>
        </w:rPr>
        <w:t xml:space="preserve">Recommendation 1: Mandate 24/7 Carbon-Free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Target audience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Regulators and policymakers (EU, SEC, national governments)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Analytical basis</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All four hyperscalers claim 100% renewable yet emissions rose 50%+ — Exhibit E3, Section 3.1</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problem</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Annual REC matching allows companies to run on fossil fuels at any moment while claiming clean energy status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action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Require hourly carbon-free energy matching (24/7 CFE) as the reporting minimum. Adopt Google's 24/7 CFE standard industry-wide. EU EED and SEC climate rules should specify hourly matching.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Quantified impact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Would expose a 20–40 percentage point gap between certificate claims and real-world clean energy coverage</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Implementation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2-year transition to reporting standard; 5-year transition to compliance requirement</w:t>
            </w:r>
          </w:p>
        </w:tc>
      </w:tr>
    </w:tbl>
    <w:p>
      <w:pPr>
        <w:spacing w:before="0" w:after="120"/>
      </w:pPr>
      <w:r>
        <w:t xml:space="preserve"/>
      </w:r>
    </w:p>
    <w:p>
      <w:pPr>
        <w:pStyle w:val="Heading2"/>
        <w:spacing w:before="360" w:after="160"/>
      </w:pPr>
      <w:r>
        <w:rPr>
          <w:rFonts w:ascii="Calibri" w:cs="Calibri" w:eastAsia="Calibri" w:hAnsi="Calibri"/>
          <w:b/>
          <w:bCs/>
          <w:color w:val="1D4ED8"/>
          <w:sz w:val="28"/>
          <w:szCs w:val="28"/>
        </w:rPr>
        <w:t xml:space="preserve">Recommendation 2: Carbon-Aware DC Location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92400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92400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Target audience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DC operators, hyperscalers, and AI companies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Analytical basis</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70× carbon intensity difference between Canada West (9 gCO₂/kWh) and India (630 gCO₂/kWh) — Section 4.3</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problem</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Virginia, the world's largest DC market, operates at 320 gCO₂/kWh — 35× worse than the cleanest available alternative</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action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Route AI training workloads to hydro/nuclear-dominated grids. Adopt carbon-aware scheduling for inference. Publish workload placement carbon reports annually. Prioritise US Pacific NW and Canada for new hyperscale builds.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Quantified impact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Running 1 TWh of AI compute in Canada West vs India saves 621 kt CO₂e — equivalent to 135,000 cars removed from the road</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Implementation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Carbon-aware routing APIs exist today. Requires policy mandate for disclosure within 2 years.</w:t>
            </w:r>
          </w:p>
        </w:tc>
      </w:tr>
    </w:tbl>
    <w:p>
      <w:pPr>
        <w:spacing w:before="0" w:after="120"/>
      </w:pPr>
      <w:r>
        <w:t xml:space="preserve"/>
      </w:r>
    </w:p>
    <w:p>
      <w:pPr>
        <w:pStyle w:val="Heading2"/>
        <w:spacing w:before="360" w:after="160"/>
      </w:pPr>
      <w:r>
        <w:rPr>
          <w:rFonts w:ascii="Calibri" w:cs="Calibri" w:eastAsia="Calibri" w:hAnsi="Calibri"/>
          <w:b/>
          <w:bCs/>
          <w:color w:val="1D4ED8"/>
          <w:sz w:val="28"/>
          <w:szCs w:val="28"/>
        </w:rPr>
        <w:t xml:space="preserve">Recommendation 3: Require Inference Energy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Target audience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AI companies and regulators (EU AI Act, NIST)</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Analytical basis</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68% of frontier models have no training energy disclosure; 0% publish standardised inference benchmarks — Section 2.3</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problem</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Inference is 90% of AI lifecycle energy yet entirely absent from sustainability reporting. DeepSeek-R1 uses 77× more energy per query than GPT-4o — invisible to users and policymakers.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action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Require AI model cards to include: training energy (MWh), training CO₂e (tCO₂e), inference energy at production scale (Wh/query at 1M queries/day), and water consumption. EU AI Act should add energy benchmarks to conformity assessments for high-risk AI systems.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Quantified impact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Enables carbon-aware model selection — estimated 40–60% emissions reduction through informed model choice alone</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Implementation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Standardised disclosure framework can be defined within 12 months. Enforcement within 36 months.</w:t>
            </w:r>
          </w:p>
        </w:tc>
      </w:tr>
    </w:tbl>
    <w:p>
      <w:pPr>
        <w:spacing w:before="0" w:after="120"/>
      </w:pPr>
      <w:r>
        <w:t xml:space="preserve"/>
      </w:r>
    </w:p>
    <w:p>
      <w:pPr>
        <w:pStyle w:val="Heading2"/>
        <w:spacing w:before="360" w:after="160"/>
      </w:pPr>
      <w:r>
        <w:rPr>
          <w:rFonts w:ascii="Calibri" w:cs="Calibri" w:eastAsia="Calibri" w:hAnsi="Calibri"/>
          <w:b/>
          <w:bCs/>
          <w:color w:val="1D4ED8"/>
          <w:sz w:val="28"/>
          <w:szCs w:val="28"/>
        </w:rPr>
        <w:t xml:space="preserve">Recommendation 4: Close the $703B Clean Energy Investment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65F46"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065F46"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Target audience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Investors, lenders, ESG rating agencies, and DC operators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Analytical basis</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$703B cumulative shortfall 2025–2030 — Section 4.4; DC capex growing at 40%/yr while clean energy contracting grows at 25%/yr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problem</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Current green finance mechanisms allow DC operators to finance expansion without commensurate clean energy investment. Certificate purchasing is not equivalent to funding new generation capacity.</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action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Require DC operators to contract new (additional) clean energy capacity proportional to new DC builds. Green bonds and sustainability-linked loans should tie pricing to 24/7 CFE coverage, not annual renewable %. ESG ratings should weight 24/7 CFE over certificate %.</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Quantified impact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Closing the gap prevents an estimated 200+ MtCO₂e of avoidable emissions by 2030</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Implementation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Requires coordinated action by major lenders and rating agencies within 18 months to affect 2025–2027 investment decisions.</w:t>
            </w:r>
          </w:p>
        </w:tc>
      </w:tr>
    </w:tbl>
    <w:p>
      <w:pPr>
        <w:spacing w:before="0" w:after="120"/>
      </w:pPr>
      <w:r>
        <w:t xml:space="preserve"/>
      </w:r>
    </w:p>
    <w:p>
      <w:pPr>
        <w:pStyle w:val="Heading2"/>
        <w:spacing w:before="360" w:after="160"/>
      </w:pPr>
      <w:r>
        <w:rPr>
          <w:rFonts w:ascii="Calibri" w:cs="Calibri" w:eastAsia="Calibri" w:hAnsi="Calibri"/>
          <w:b/>
          <w:bCs/>
          <w:color w:val="1D4ED8"/>
          <w:sz w:val="28"/>
          <w:szCs w:val="28"/>
        </w:rPr>
        <w:t xml:space="preserve">Recommendation 5: Mandate Scope 3 Disclosure for AI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4C1D9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4C1D9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Target audience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Boards, regulators, and standards bodies (GHG Protocol, ISSB)</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Analytical basis</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Scope 3 = 65–95% of hyperscaler total emissions; Microsoft Scope 3 +30.9% in FY23; industry combined indirect emissions +150% 2020–2023</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problem</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Current market-based Scope 2 accounting makes the largest share of hyperscaler emissions invisible. AI-specific Scope 3 categories (hardware supply chain, customer inference energy, embodied carbon) are not standardised.</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The action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Extend EU CSRD and SEC climate disclosure to require AI-specific Scope 3 categories. Standardise reporting methodology across all hyperscalers. Require third-party verification of Scope 3 figures for companies above $10B DC capex annually.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Quantified impact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Would expose the true AI carbon footprint — estimated 3–5× larger than current Scope 1+2 disclosures suggest</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Implementation</w:t>
            </w:r>
          </w:p>
        </w:tc>
        <w:tc>
          <w:tcPr>
            <w:tcW w:type="dxa" w:w="6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Can be incorporated into existing CSRD and SEC frameworks within 24 months through supplementary guidance.</w:t>
            </w:r>
          </w:p>
        </w:tc>
      </w:tr>
    </w:tbl>
    <w:p>
      <w:pPr>
        <w:spacing w:before="0" w:after="0"/>
      </w:pPr>
      <w:r>
        <w:br w:type="page"/>
      </w:r>
    </w:p>
    <w:p>
      <w:pPr>
        <w:pStyle w:val="Heading1"/>
        <w:pBdr>
          <w:bottom w:val="single" w:color="1E3A5F" w:sz="4" w:space="4"/>
        </w:pBdr>
        <w:spacing w:before="480" w:after="200"/>
      </w:pPr>
      <w:r>
        <w:rPr>
          <w:rFonts w:ascii="Calibri" w:cs="Calibri" w:eastAsia="Calibri" w:hAnsi="Calibri"/>
          <w:b/>
          <w:bCs/>
          <w:color w:val="1E3A5F"/>
          <w:sz w:val="36"/>
          <w:szCs w:val="36"/>
        </w:rPr>
        <w:t xml:space="preserve">6. Conclusions</w:t>
      </w:r>
    </w:p>
    <w:p>
      <w:pPr>
        <w:spacing w:before="0" w:after="180" w:line="288"/>
        <w:jc w:val="left"/>
      </w:pPr>
      <w:r>
        <w:rPr>
          <w:rFonts w:ascii="Calibri" w:cs="Calibri" w:eastAsia="Calibri" w:hAnsi="Calibri"/>
          <w:color w:val="0F172A"/>
          <w:sz w:val="22"/>
          <w:szCs w:val="22"/>
        </w:rPr>
        <w:t xml:space="preserve">This analysis set out to answer one question: is the AI industry's sustainability trajectory compatible with global climate commitments? The data provides an unambiguous answer.</w:t>
      </w:r>
    </w:p>
    <w:p>
      <w:pPr>
        <w:spacing w:before="0" w:after="120"/>
      </w:pPr>
      <w:r>
        <w:t xml:space="preserve"/>
      </w:r>
    </w:p>
    <w:p>
      <w:pPr>
        <w:spacing w:before="0" w:after="180" w:line="288"/>
        <w:jc w:val="left"/>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The boom is real and accelerating.</w:t>
      </w:r>
      <w:r>
        <w:rPr>
          <w:rFonts w:ascii="Calibri" w:cs="Calibri" w:eastAsia="Calibri" w:hAnsi="Calibri"/>
          <w:color w:val="0F172A"/>
          <w:sz w:val="22"/>
          <w:szCs w:val="22"/>
        </w:rPr>
        <w:t xml:space="preserve"> Data center energy demand grew 114% from 2015 to 2024 and is now growing at 15.7% per year — a rate that the IEA projects will sustain through 2030, taking global DC electricity consumption to 945–1,200 TWh depending on AI adoption speed. Every analytical tool applied to this data confirms the same structure: the relationship between AI activity and energy demand is strong (all correlations above 0.86), polynomial rather than linear (R²=0.994), and causally linked through capital expenditure flows.</w:t>
      </w:r>
    </w:p>
    <w:p>
      <w:pPr>
        <w:spacing w:before="0" w:after="120"/>
      </w:pPr>
      <w:r>
        <w:t xml:space="preserve"/>
      </w:r>
    </w:p>
    <w:p>
      <w:pPr>
        <w:spacing w:before="0" w:after="180" w:line="288"/>
        <w:jc w:val="left"/>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The sustainability commitments are structurally failing.</w:t>
      </w:r>
      <w:r>
        <w:rPr>
          <w:rFonts w:ascii="Calibri" w:cs="Calibri" w:eastAsia="Calibri" w:hAnsi="Calibri"/>
          <w:color w:val="0F172A"/>
          <w:sz w:val="22"/>
          <w:szCs w:val="22"/>
        </w:rPr>
        <w:t xml:space="preserve"> 67% of company-year observations fall in the Laggard sustainability tier. All four companies converged to a 2/5 sustainability score by 2024 regardless of starting position or pledge ambition. Annual renewable energy certificates, while universally adopted, are not a proxy for decarbonisation — they are a mechanism for making growing emissions invisible in headline reporting. The ITU/WBA finding that combined indirect emissions rose 150% from 2020 to 2023 is the quantitative evidence that no amount of certificate purchasing can obscure.</w:t>
      </w:r>
    </w:p>
    <w:p>
      <w:pPr>
        <w:spacing w:before="0" w:after="120"/>
      </w:pPr>
      <w:r>
        <w:t xml:space="preserve"/>
      </w:r>
    </w:p>
    <w:p>
      <w:pPr>
        <w:spacing w:before="0" w:after="180" w:line="288"/>
        <w:jc w:val="left"/>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The decisions being made now lock in the 2030 trajectory.</w:t>
      </w:r>
      <w:r>
        <w:rPr>
          <w:rFonts w:ascii="Calibri" w:cs="Calibri" w:eastAsia="Calibri" w:hAnsi="Calibri"/>
          <w:color w:val="0F172A"/>
          <w:sz w:val="22"/>
          <w:szCs w:val="22"/>
        </w:rPr>
        <w:t xml:space="preserve"> A $703B clean energy investment gap must be closed in six years. A 70× carbon arbitrage opportunity exists today, untapped. Five specific interventions — mandating 24/7 CFE, carbon-aware DC siting, inference energy disclosure, aligned clean energy financing, and Scope 3 accountability — are each technically feasible, economically justifiable, and politically actionable within the current regulatory cycle.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thick" w:color="991B1B" w:sz="18"/>
              <w:bottom w:val="single" w:color="E2E8F0" w:sz="1"/>
              <w:right w:val="single" w:color="E2E8F0" w:sz="1"/>
            </w:tcBorders>
            <w:shd w:fill="FEE2E2" w:val="clear"/>
            <w:tcMar>
              <w:top w:type="dxa" w:w="140"/>
              <w:left w:type="dxa" w:w="220"/>
              <w:bottom w:type="dxa" w:w="140"/>
              <w:right w:type="dxa" w:w="220"/>
            </w:tcMar>
          </w:tcPr>
          <w:p>
            <w:pPr>
              <w:spacing w:before="0" w:after="80"/>
            </w:pPr>
            <w:r>
              <w:rPr>
                <w:rFonts w:ascii="Calibri" w:cs="Calibri" w:eastAsia="Calibri" w:hAnsi="Calibri"/>
                <w:b/>
                <w:bCs/>
                <w:color w:val="991B1B"/>
                <w:sz w:val="20"/>
                <w:szCs w:val="20"/>
              </w:rPr>
              <w:t xml:space="preserve">THE FINAL FINDING</w:t>
            </w:r>
          </w:p>
          <w:p>
            <w:pPr>
              <w:spacing w:before="0" w:after="0"/>
            </w:pPr>
            <w:r>
              <w:rPr>
                <w:rFonts w:ascii="Calibri" w:cs="Calibri" w:eastAsia="Calibri" w:hAnsi="Calibri"/>
                <w:color w:val="0F172A"/>
                <w:sz w:val="20"/>
                <w:szCs w:val="20"/>
              </w:rPr>
              <w:t xml:space="preserve">The convergence of all four hyperscalers to 2/5 sustainability score in 2024 — regardless of individual strategies, pledges, or investments — is the most important single finding of this analysis. It proves that the problem is not one of corporate intent or capability. It is structural. The AI boom created an energy demand shock that the current voluntary sustainability framework was not designed to absorb. The implication is clear: voluntary commitments are insufficient. The decisions that define the next decade of AI energy demand will be made in boardrooms and regulatory offices over the next three years.</w:t>
            </w:r>
          </w:p>
        </w:tc>
      </w:tr>
    </w:tbl>
    <w:p>
      <w:pPr>
        <w:spacing w:before="0" w:after="0"/>
      </w:pPr>
      <w:r>
        <w:br w:type="page"/>
      </w:r>
    </w:p>
    <w:p>
      <w:pPr>
        <w:pStyle w:val="Heading1"/>
        <w:pBdr>
          <w:bottom w:val="single" w:color="1E3A5F" w:sz="4" w:space="4"/>
        </w:pBdr>
        <w:spacing w:before="480" w:after="200"/>
      </w:pPr>
      <w:r>
        <w:rPr>
          <w:rFonts w:ascii="Calibri" w:cs="Calibri" w:eastAsia="Calibri" w:hAnsi="Calibri"/>
          <w:b/>
          <w:bCs/>
          <w:color w:val="1E3A5F"/>
          <w:sz w:val="36"/>
          <w:szCs w:val="36"/>
        </w:rPr>
        <w:t xml:space="preserve">Appendix: Technical Methodology</w:t>
      </w:r>
    </w:p>
    <w:p>
      <w:pPr>
        <w:pStyle w:val="Heading2"/>
        <w:spacing w:before="360" w:after="160"/>
      </w:pPr>
      <w:r>
        <w:rPr>
          <w:rFonts w:ascii="Calibri" w:cs="Calibri" w:eastAsia="Calibri" w:hAnsi="Calibri"/>
          <w:b/>
          <w:bCs/>
          <w:color w:val="1D4ED8"/>
          <w:sz w:val="28"/>
          <w:szCs w:val="28"/>
        </w:rPr>
        <w:t xml:space="preserve">A1. Regression Model Specification</w:t>
      </w:r>
    </w:p>
    <w:p>
      <w:pPr>
        <w:spacing w:before="0" w:after="180" w:line="288"/>
        <w:jc w:val="left"/>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Model selection:</w:t>
      </w:r>
      <w:r>
        <w:rPr>
          <w:rFonts w:ascii="Calibri" w:cs="Calibri" w:eastAsia="Calibri" w:hAnsi="Calibri"/>
          <w:color w:val="0F172A"/>
          <w:sz w:val="22"/>
          <w:szCs w:val="22"/>
        </w:rPr>
        <w:t xml:space="preserve"> Four models trained and evaluated — Linear Regression, Ridge Regression (α=1.0), Random Forest (200 trees, max depth 3), and XGBoost (200 estimators, max depth 2). Model selection based on TimeSeriesSplit cross-validation RMSE (3 folds, preserving chronological order).</w:t>
      </w:r>
    </w:p>
    <w:p>
      <w:pPr>
        <w:spacing w:before="0" w:after="180" w:line="288"/>
        <w:jc w:val="left"/>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Feature set (9 variables):</w:t>
      </w:r>
      <w:r>
        <w:rPr>
          <w:rFonts w:ascii="Calibri" w:cs="Calibri" w:eastAsia="Calibri" w:hAnsi="Calibri"/>
          <w:color w:val="0F172A"/>
          <w:sz w:val="22"/>
          <w:szCs w:val="22"/>
        </w:rPr>
        <w:t xml:space="preserve"> Hyperscale DC Count, AI Share of DC Energy (%), GenAI Investment ($B), GPU/AI Chip Revenue ($B), GPU Shipments for AI (M units), Renewable % of DC Electricity, Training Compute Index, Global AI Private Investment ($B), Global DC Capex ($B). Missing values filled with column median (4 of 9 features had pre-2019 gaps).</w:t>
      </w:r>
    </w:p>
    <w:p>
      <w:pPr>
        <w:spacing w:before="0" w:after="180" w:line="288"/>
        <w:jc w:val="left"/>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Train/test split:</w:t>
      </w:r>
      <w:r>
        <w:rPr>
          <w:rFonts w:ascii="Calibri" w:cs="Calibri" w:eastAsia="Calibri" w:hAnsi="Calibri"/>
          <w:color w:val="0F172A"/>
          <w:sz w:val="22"/>
          <w:szCs w:val="22"/>
        </w:rPr>
        <w:t xml:space="preserve"> 2015–2021 (training), 2022–2024 (test). Chronological split is essential for time series data — random splitting would constitute data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200"/>
        <w:gridCol w:w="1400"/>
        <w:gridCol w:w="1400"/>
        <w:gridCol w:w="1200"/>
        <w:gridCol w:w="1760"/>
        <w:gridCol w:w="1400"/>
      </w:tblGrid>
      <w:tr>
        <w:trPr>
          <w:tblHeader/>
        </w:trPr>
        <w:tc>
          <w:tcPr>
            <w:tcW w:type="dxa" w:w="22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Model</w:t>
            </w:r>
          </w:p>
        </w:tc>
        <w:tc>
          <w:tcPr>
            <w:tcW w:type="dxa" w:w="14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Test RMSE (TWh)</w:t>
            </w:r>
          </w:p>
        </w:tc>
        <w:tc>
          <w:tcPr>
            <w:tcW w:type="dxa" w:w="14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Test MAE (TWh)</w:t>
            </w:r>
          </w:p>
        </w:tc>
        <w:tc>
          <w:tcPr>
            <w:tcW w:type="dxa" w:w="12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Test R²</w:t>
            </w:r>
          </w:p>
        </w:tc>
        <w:tc>
          <w:tcPr>
            <w:tcW w:type="dxa" w:w="176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CV RMSE</w:t>
            </w:r>
          </w:p>
        </w:tc>
        <w:tc>
          <w:tcPr>
            <w:tcW w:type="dxa" w:w="14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Status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Linear Regression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15.8</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11.4</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0.866</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18.4 ± 3.9</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SELECTED</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Ridge Regression</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53.9</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33.9</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−0.569</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32.1 ± 8.6</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Rejected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Random Forest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133.6</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126.6</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−8.654</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79.5 ± 39.1</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Rejected</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XGBoost</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109.7</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100.9</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−5.499</w:t>
            </w:r>
          </w:p>
        </w:tc>
        <w:tc>
          <w:tcPr>
            <w:tcW w:type="dxa" w:w="1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56.6 ± 22.1</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 Rejected</w:t>
            </w:r>
          </w:p>
        </w:tc>
      </w:tr>
    </w:tbl>
    <w:p>
      <w:pPr>
        <w:spacing w:before="0" w:after="180" w:line="288"/>
        <w:jc w:val="left"/>
      </w:pPr>
      <w:r>
        <w:rPr>
          <w:rFonts w:ascii="Calibri" w:cs="Calibri" w:eastAsia="Calibri" w:hAnsi="Calibri"/>
          <w:color w:val="0F172A"/>
          <w:sz w:val="22"/>
          <w:szCs w:val="22"/>
        </w:rPr>
        <w:t xml:space="preserve">Tree-based models failed due to n=10 — with 10 training observations and 9 features, they overfit perfectly and generalise poorly. This is consistent with established ML literature on small-sample tabular data. The data selected Linear Regression through empirical comparison, not assumption.</w:t>
      </w:r>
    </w:p>
    <w:p>
      <w:pPr>
        <w:pStyle w:val="Heading2"/>
        <w:spacing w:before="360" w:after="160"/>
      </w:pPr>
      <w:r>
        <w:rPr>
          <w:rFonts w:ascii="Calibri" w:cs="Calibri" w:eastAsia="Calibri" w:hAnsi="Calibri"/>
          <w:b/>
          <w:bCs/>
          <w:color w:val="1D4ED8"/>
          <w:sz w:val="28"/>
          <w:szCs w:val="28"/>
        </w:rPr>
        <w:t xml:space="preserve">A2. Clustering Validation</w:t>
      </w:r>
    </w:p>
    <w:p>
      <w:pPr>
        <w:spacing w:before="0" w:after="180" w:line="288"/>
        <w:jc w:val="left"/>
      </w:pPr>
      <w:r>
        <w:rPr>
          <w:rFonts w:ascii="Calibri" w:cs="Calibri" w:eastAsia="Calibri" w:hAnsi="Calibri"/>
          <w:color w:val="0F172A"/>
          <w:sz w:val="22"/>
          <w:szCs w:val="22"/>
        </w:rPr>
        <w:t xml:space="preserve">K-Means clustering with k=3, validated through two independent methods:</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Elbow method:</w:t>
      </w:r>
      <w:r>
        <w:rPr>
          <w:rFonts w:ascii="Calibri" w:cs="Calibri" w:eastAsia="Calibri" w:hAnsi="Calibri"/>
          <w:color w:val="0F172A"/>
          <w:sz w:val="22"/>
          <w:szCs w:val="22"/>
        </w:rPr>
        <w:t xml:space="preserve"> Inertia drops sharply from k=2 (66.7) to k=3 (48.0), then flattens. The k=3 elbow is the visually and mathematically identifiable inflection point.</w:t>
      </w:r>
    </w:p>
    <w:p>
      <w:pPr>
        <w:pStyle w:val="ListParagraph"/>
        <w:numPr>
          <w:ilvl w:val="0"/>
          <w:numId w:val="2"/>
        </w:numPr>
        <w:spacing w:before="60" w:after="100" w:line="276"/>
      </w:pPr>
      <w:r>
        <w:rPr>
          <w:rFonts w:ascii="Calibri" w:cs="Calibri" w:eastAsia="Calibri" w:hAnsi="Calibri"/>
          <w:color w:val="0F172A"/>
          <w:sz w:val="22"/>
          <w:szCs w:val="22"/>
        </w:rPr>
        <w:t xml:space="preserve"/>
      </w:r>
      <w:r>
        <w:rPr>
          <w:rFonts w:ascii="Calibri" w:cs="Calibri" w:eastAsia="Calibri" w:hAnsi="Calibri"/>
          <w:b/>
          <w:bCs/>
          <w:color w:val="0F172A"/>
          <w:sz w:val="22"/>
          <w:szCs w:val="22"/>
        </w:rPr>
        <w:t xml:space="preserve">Silhouette score:</w:t>
      </w:r>
      <w:r>
        <w:rPr>
          <w:rFonts w:ascii="Calibri" w:cs="Calibri" w:eastAsia="Calibri" w:hAnsi="Calibri"/>
          <w:color w:val="0F172A"/>
          <w:sz w:val="22"/>
          <w:szCs w:val="22"/>
        </w:rPr>
        <w:t xml:space="preserve"> Peaks at k=3 (0.456), declining for all higher values (0.426 at k=4, 0.395 at k=5). Silhouette scores above 0.4 indicate reasonable to strong cluster structure.</w:t>
      </w:r>
    </w:p>
    <w:p>
      <w:pPr>
        <w:spacing w:before="0" w:after="180" w:line="288"/>
        <w:jc w:val="left"/>
      </w:pPr>
      <w:r>
        <w:rPr>
          <w:rFonts w:ascii="Calibri" w:cs="Calibri" w:eastAsia="Calibri" w:hAnsi="Calibri"/>
          <w:color w:val="0F172A"/>
          <w:sz w:val="22"/>
          <w:szCs w:val="22"/>
        </w:rPr>
        <w:t xml:space="preserve">Feature engineering: all five features normalised using StandardScaler (zero mean, unit variance) before clustering. Emissions intensity and PPA were computed as ratios (GHG/electricity and PPA/capex respectively) to normalise for company scale — preventing larger companies from automatically clustering together.</w:t>
      </w:r>
    </w:p>
    <w:p>
      <w:pPr>
        <w:pStyle w:val="Heading2"/>
        <w:spacing w:before="360" w:after="160"/>
      </w:pPr>
      <w:r>
        <w:rPr>
          <w:rFonts w:ascii="Calibri" w:cs="Calibri" w:eastAsia="Calibri" w:hAnsi="Calibri"/>
          <w:b/>
          <w:bCs/>
          <w:color w:val="1D4ED8"/>
          <w:sz w:val="28"/>
          <w:szCs w:val="28"/>
        </w:rPr>
        <w:t xml:space="preserve">A3. PCA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200"/>
        <w:gridCol w:w="1600"/>
        <w:gridCol w:w="3600"/>
        <w:gridCol w:w="2960"/>
      </w:tblGrid>
      <w:tr>
        <w:trPr>
          <w:tblHeader/>
        </w:trPr>
        <w:tc>
          <w:tcPr>
            <w:tcW w:type="dxa" w:w="12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Component</w:t>
            </w:r>
          </w:p>
        </w:tc>
        <w:tc>
          <w:tcPr>
            <w:tcW w:type="dxa" w:w="16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Variance Explained</w:t>
            </w:r>
          </w:p>
        </w:tc>
        <w:tc>
          <w:tcPr>
            <w:tcW w:type="dxa" w:w="36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Dominant Features</w:t>
            </w:r>
          </w:p>
        </w:tc>
        <w:tc>
          <w:tcPr>
            <w:tcW w:type="dxa" w:w="296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Business Interpretation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PC1</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54.6%</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PUE (+0.572), Emissions Intensity (+0.525), Pledge Gap (−0.412)</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Operational Efficiency Axis — companies scoring left are operationally efficient</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PC2</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w:t>
            </w:r>
          </w:p>
        </w:tc>
        <w:tc>
          <w:tcPr>
            <w:tcW w:type="dxa" w:w="3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Scope 3 % (+0.753), PPA per Capex (+0.646)</w:t>
            </w:r>
          </w:p>
        </w:tc>
        <w:tc>
          <w:tcPr>
            <w:tcW w:type="dxa" w:w="2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Accountability Axis — companies scoring high have more supply chain exposure</w:t>
            </w:r>
          </w:p>
        </w:tc>
      </w:tr>
    </w:tbl>
    <w:p>
      <w:pPr>
        <w:pStyle w:val="Heading2"/>
        <w:spacing w:before="360" w:after="160"/>
      </w:pPr>
      <w:r>
        <w:rPr>
          <w:rFonts w:ascii="Calibri" w:cs="Calibri" w:eastAsia="Calibri" w:hAnsi="Calibri"/>
          <w:b/>
          <w:bCs/>
          <w:color w:val="1D4ED8"/>
          <w:sz w:val="28"/>
          <w:szCs w:val="28"/>
        </w:rPr>
        <w:t xml:space="preserve">A4. Forecast Model Validation</w:t>
      </w:r>
    </w:p>
    <w:p>
      <w:pPr>
        <w:spacing w:before="0" w:after="180" w:line="288"/>
        <w:jc w:val="left"/>
      </w:pPr>
      <w:r>
        <w:rPr>
          <w:rFonts w:ascii="Calibri" w:cs="Calibri" w:eastAsia="Calibri" w:hAnsi="Calibri"/>
          <w:color w:val="0F172A"/>
          <w:sz w:val="22"/>
          <w:szCs w:val="22"/>
        </w:rPr>
        <w:t xml:space="preserve">Both forecast scenarios were calibrated to IEA published anchor points (510 TWh Base Case 2025; 945 TWh Base Case 2030; 560 TWh Lift-Off 2025; 1,200 TWh Lift-Off 2030). Model accuracy against IEA published intermediate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60"/>
        <w:gridCol w:w="1280"/>
        <w:gridCol w:w="1200"/>
        <w:gridCol w:w="1200"/>
        <w:gridCol w:w="1280"/>
        <w:gridCol w:w="1280"/>
        <w:gridCol w:w="1160"/>
      </w:tblGrid>
      <w:tr>
        <w:trPr>
          <w:tblHeader/>
        </w:trPr>
        <w:tc>
          <w:tcPr>
            <w:tcW w:type="dxa" w:w="96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Year</w:t>
            </w:r>
          </w:p>
        </w:tc>
        <w:tc>
          <w:tcPr>
            <w:tcW w:type="dxa" w:w="128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Model Base (TWh)</w:t>
            </w:r>
          </w:p>
        </w:tc>
        <w:tc>
          <w:tcPr>
            <w:tcW w:type="dxa" w:w="12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IEA Base (TWh)</w:t>
            </w:r>
          </w:p>
        </w:tc>
        <w:tc>
          <w:tcPr>
            <w:tcW w:type="dxa" w:w="120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Difference</w:t>
            </w:r>
          </w:p>
        </w:tc>
        <w:tc>
          <w:tcPr>
            <w:tcW w:type="dxa" w:w="128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Model Accel. (TWh)</w:t>
            </w:r>
          </w:p>
        </w:tc>
        <w:tc>
          <w:tcPr>
            <w:tcW w:type="dxa" w:w="128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IEA Lift-Off (TWh)</w:t>
            </w:r>
          </w:p>
        </w:tc>
        <w:tc>
          <w:tcPr>
            <w:tcW w:type="dxa" w:w="1160"/>
            <w:tcBorders>
              <w:top w:val="single" w:color="E2E8F0" w:sz="1"/>
              <w:left w:val="single" w:color="E2E8F0" w:sz="1"/>
              <w:bottom w:val="single" w:color="E2E8F0" w:sz="1"/>
              <w:right w:val="single" w:color="E2E8F0" w:sz="1"/>
            </w:tcBorders>
            <w:shd w:fill="475569"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Difference</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2025</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560</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560</w:t>
            </w:r>
          </w:p>
        </w:tc>
        <w:tc>
          <w:tcPr>
            <w:tcW w:type="dxa" w:w="1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2026</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581</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590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664</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670</w:t>
            </w:r>
          </w:p>
        </w:tc>
        <w:tc>
          <w:tcPr>
            <w:tcW w:type="dxa" w:w="1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2027</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660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680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778</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790</w:t>
            </w:r>
          </w:p>
        </w:tc>
        <w:tc>
          <w:tcPr>
            <w:tcW w:type="dxa" w:w="1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−12</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2028</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747</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760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−13</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905</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920</w:t>
            </w:r>
          </w:p>
        </w:tc>
        <w:tc>
          <w:tcPr>
            <w:tcW w:type="dxa" w:w="1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w:t>
            </w:r>
          </w:p>
        </w:tc>
      </w:tr>
      <w:tr>
        <w:tc>
          <w:tcPr>
            <w:tcW w:type="dxa" w:w="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2029</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842</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850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−8</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1,045</w:t>
            </w:r>
          </w:p>
        </w:tc>
        <w:tc>
          <w:tcPr>
            <w:tcW w:type="dxa" w:w="12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1,060</w:t>
            </w:r>
          </w:p>
        </w:tc>
        <w:tc>
          <w:tcPr>
            <w:tcW w:type="dxa" w:w="1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−15</w:t>
            </w:r>
          </w:p>
        </w:tc>
      </w:tr>
      <w:tr>
        <w:tc>
          <w:tcPr>
            <w:tcW w:type="dxa" w:w="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2030</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945</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945</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1,200</w:t>
            </w:r>
          </w:p>
        </w:tc>
        <w:tc>
          <w:tcPr>
            <w:tcW w:type="dxa" w:w="128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1,200</w:t>
            </w:r>
          </w:p>
        </w:tc>
        <w:tc>
          <w:tcPr>
            <w:tcW w:type="dxa" w:w="1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vAlign w:val="center"/>
          </w:tcPr>
          <w:p>
            <w:pPr>
              <w:jc w:val="left"/>
            </w:pPr>
            <w:r>
              <w:rPr>
                <w:rFonts w:ascii="Calibri" w:cs="Calibri" w:eastAsia="Calibri" w:hAnsi="Calibri"/>
                <w:color w:val="0F172A"/>
                <w:sz w:val="18"/>
                <w:szCs w:val="18"/>
              </w:rPr>
              <w:t xml:space="preserve">0</w:t>
            </w:r>
          </w:p>
        </w:tc>
      </w:tr>
    </w:tbl>
    <w:p>
      <w:pPr>
        <w:spacing w:before="0" w:after="180" w:line="288"/>
        <w:jc w:val="left"/>
      </w:pPr>
      <w:r>
        <w:rPr>
          <w:rFonts w:ascii="Calibri" w:cs="Calibri" w:eastAsia="Calibri" w:hAnsi="Calibri"/>
          <w:color w:val="0F172A"/>
          <w:sz w:val="22"/>
          <w:szCs w:val="22"/>
        </w:rPr>
        <w:t xml:space="preserve">Maximum divergence from IEA published values: 20 TWh in the Base Case (2027), 15 TWh in the Accelerated Case (2028–2029). Both are within the IEA's own stated uncertainty bounds for 3-year energy forecasts.</w:t>
      </w:r>
    </w:p>
    <w:p>
      <w:pPr>
        <w:pStyle w:val="Heading2"/>
        <w:spacing w:before="360" w:after="160"/>
      </w:pPr>
      <w:r>
        <w:rPr>
          <w:rFonts w:ascii="Calibri" w:cs="Calibri" w:eastAsia="Calibri" w:hAnsi="Calibri"/>
          <w:b/>
          <w:bCs/>
          <w:color w:val="1D4ED8"/>
          <w:sz w:val="28"/>
          <w:szCs w:val="28"/>
        </w:rPr>
        <w:t xml:space="preserve">A5. Data Limitations</w:t>
      </w:r>
    </w:p>
    <w:p>
      <w:pPr>
        <w:pStyle w:val="ListParagraph"/>
        <w:numPr>
          <w:ilvl w:val="0"/>
          <w:numId w:val="2"/>
        </w:numPr>
        <w:spacing w:before="60" w:after="100" w:line="276"/>
      </w:pPr>
      <w:r>
        <w:rPr>
          <w:rFonts w:ascii="Calibri" w:cs="Calibri" w:eastAsia="Calibri" w:hAnsi="Calibri"/>
          <w:color w:val="0F172A"/>
          <w:sz w:val="22"/>
          <w:szCs w:val="22"/>
        </w:rPr>
        <w:t xml:space="preserve">Amazon and Meta 2024 GHG emissions are not publicly disclosed at time of writing (typically published 6–9 months after year-end).</w:t>
      </w:r>
    </w:p>
    <w:p>
      <w:pPr>
        <w:pStyle w:val="ListParagraph"/>
        <w:numPr>
          <w:ilvl w:val="0"/>
          <w:numId w:val="2"/>
        </w:numPr>
        <w:spacing w:before="60" w:after="100" w:line="276"/>
      </w:pPr>
      <w:r>
        <w:rPr>
          <w:rFonts w:ascii="Calibri" w:cs="Calibri" w:eastAsia="Calibri" w:hAnsi="Calibri"/>
          <w:color w:val="0F172A"/>
          <w:sz w:val="22"/>
          <w:szCs w:val="22"/>
        </w:rPr>
        <w:t xml:space="preserve">68% of frontier AI models have no publicly disclosed training energy data. Inference energy figures are drawn from Epoch AI (2025) and arXiv 2505.09598 — these are estimates based on hardware profiling, not operator-disclosed figures.</w:t>
      </w:r>
    </w:p>
    <w:p>
      <w:pPr>
        <w:pStyle w:val="ListParagraph"/>
        <w:numPr>
          <w:ilvl w:val="0"/>
          <w:numId w:val="2"/>
        </w:numPr>
        <w:spacing w:before="60" w:after="100" w:line="276"/>
      </w:pPr>
      <w:r>
        <w:rPr>
          <w:rFonts w:ascii="Calibri" w:cs="Calibri" w:eastAsia="Calibri" w:hAnsi="Calibri"/>
          <w:color w:val="0F172A"/>
          <w:sz w:val="22"/>
          <w:szCs w:val="22"/>
        </w:rPr>
        <w:t xml:space="preserve">Grid carbon intensity figures use location-based (physical grid) methodology, not market-based (certificate-adjusted) methodology. This is methodologically appropriate for real-world impact assessment but will differ from company-reported Scope 2 market-based figures.</w:t>
      </w:r>
    </w:p>
    <w:p>
      <w:pPr>
        <w:pStyle w:val="ListParagraph"/>
        <w:numPr>
          <w:ilvl w:val="0"/>
          <w:numId w:val="2"/>
        </w:numPr>
        <w:spacing w:before="60" w:after="100" w:line="276"/>
      </w:pPr>
      <w:r>
        <w:rPr>
          <w:rFonts w:ascii="Calibri" w:cs="Calibri" w:eastAsia="Calibri" w:hAnsi="Calibri"/>
          <w:color w:val="0F172A"/>
          <w:sz w:val="22"/>
          <w:szCs w:val="22"/>
        </w:rPr>
        <w:t xml:space="preserve">The regression model has n=10 annual observations. While appropriate for macro-level annual data (no quarterly or monthly equivalents exist), results should be interpreted as indicative of structural relationships rather than precise point estimates.</w:t>
      </w:r>
    </w:p>
    <w:p>
      <w:pPr>
        <w:spacing w:before="0" w:after="240"/>
      </w:pPr>
      <w:r>
        <w:t xml:space="preserve"/>
      </w:r>
    </w:p>
    <w:p>
      <w:pPr>
        <w:pBdr>
          <w:bottom w:val="single" w:color="1E3A5F" w:sz="6" w:space="1"/>
        </w:pBdr>
        <w:spacing w:before="240" w:after="240"/>
      </w:pPr>
      <w:r>
        <w:t xml:space="preserve"/>
      </w:r>
    </w:p>
    <w:p>
      <w:pPr>
        <w:spacing w:before="240" w:after="120"/>
        <w:jc w:val="center"/>
      </w:pPr>
      <w:r>
        <w:rPr>
          <w:rFonts w:ascii="Calibri" w:cs="Calibri" w:eastAsia="Calibri" w:hAnsi="Calibri"/>
          <w:color w:val="64748B"/>
          <w:sz w:val="18"/>
          <w:szCs w:val="18"/>
        </w:rPr>
        <w:t xml:space="preserve">AI Boom vs Data Center Sustainability  |  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spacing w:before="0" w:after="0"/>
      <w:jc w:val="center"/>
    </w:pPr>
    <w:r>
      <w:rPr>
        <w:rFonts w:ascii="Calibri" w:cs="Calibri" w:eastAsia="Calibri" w:hAnsi="Calibri"/>
        <w:color w:val="64748B"/>
        <w:sz w:val="18"/>
        <w:szCs w:val="18"/>
      </w:rPr>
      <w:t xml:space="preserve">Privileged &amp; 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tabs>
        <w:tab w:val="right" w:pos="9360"/>
      </w:tabs>
      <w:spacing w:before="0" w:after="0"/>
      <w:jc w:val="right"/>
    </w:pPr>
    <w:r>
      <w:rPr>
        <w:rFonts w:ascii="Calibri" w:cs="Calibri" w:eastAsia="Calibri" w:hAnsi="Calibri"/>
        <w:color w:val="475569"/>
        <w:sz w:val="18"/>
        <w:szCs w:val="18"/>
      </w:rPr>
      <w:t xml:space="preserve">AI Boom vs Data Center Sustainability</w:t>
    </w:r>
    <w:r>
      <w:rPr>
        <w:rFonts w:ascii="Calibri" w:cs="Calibri" w:eastAsia="Calibri" w:hAnsi="Calibri"/>
        <w:color w:val="475569"/>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1E3A5F"/>
      <w:sz w:val="36"/>
      <w:szCs w:val="36"/>
    </w:rPr>
  </w:style>
  <w:style w:type="paragraph" w:styleId="Heading2">
    <w:name w:val="Heading 2"/>
    <w:basedOn w:val="Normal"/>
    <w:next w:val="Normal"/>
    <w:qFormat/>
    <w:pPr>
      <w:spacing w:before="360" w:after="160"/>
      <w:outlineLvl w:val="1"/>
    </w:pPr>
    <w:rPr>
      <w:rFonts w:ascii="Calibri" w:cs="Calibri" w:eastAsia="Calibri" w:hAnsi="Calibri"/>
      <w:b/>
      <w:bCs/>
      <w:color w:val="1D4ED8"/>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2026-03-21T14:51:08.477Z</dcterms:created>
  <dcterms:modified xsi:type="dcterms:W3CDTF">2026-03-21T14:51:08.478Z</dcterms:modified>
</cp:coreProperties>
</file>

<file path=docProps/custom.xml><?xml version="1.0" encoding="utf-8"?>
<Properties xmlns="http://schemas.openxmlformats.org/officeDocument/2006/custom-properties" xmlns:vt="http://schemas.openxmlformats.org/officeDocument/2006/docPropsVTypes"/>
</file>