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3764"/>
          <w:sz w:val="48"/>
        </w:rPr>
        <w:t>Corporate Design Template A</w:t>
      </w:r>
    </w:p>
    <w:p>
      <w:pPr>
        <w:pStyle w:val="Subtitle"/>
      </w:pPr>
      <w:r>
        <w:t>Standard Executive Document Layout &amp; Typography Guide</w:t>
      </w:r>
    </w:p>
    <w:p>
      <w:pPr>
        <w:pStyle w:val="Heading1"/>
      </w:pPr>
      <w:r>
        <w:rPr>
          <w:rFonts w:ascii="Calibri" w:hAnsi="Calibri"/>
          <w:color w:val="1F3764"/>
        </w:rPr>
        <w:t>1. Executive Overview</w:t>
      </w:r>
    </w:p>
    <w:p>
      <w:pPr/>
      <w:r>
        <w:t>This template defines the visual design system, font hierarchy, primary accent colors, and table header fill formatting for restyled output documents.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