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38"/>
        </w:rPr>
        <w:t>CREDIT CARD FRAUD PATTERN &amp; LOSS ANALYSIS</w:t>
      </w:r>
    </w:p>
    <w:p>
      <w:pPr>
        <w:jc w:val="center"/>
      </w:pPr>
      <w:r>
        <w:rPr>
          <w:b/>
          <w:color w:val="4B5563"/>
          <w:sz w:val="21"/>
        </w:rPr>
        <w:t>Management Recommendation Memo | FY2025</w:t>
      </w:r>
    </w:p>
    <w:p>
      <w:pPr>
        <w:jc w:val="center"/>
      </w:pPr>
      <w:r>
        <w:rPr>
          <w:b/>
          <w:color w:val="006699"/>
          <w:sz w:val="21"/>
        </w:rPr>
        <w:t>Decision: Deploy R001 as the primary manual-review loss-prevention control</w:t>
      </w:r>
    </w:p>
    <w:tbl>
      <w:tblPr>
        <w:tblW w:type="auto" w:w="0"/>
        <w:tblLook w:firstColumn="1" w:firstRow="1" w:lastColumn="0" w:lastRow="0" w:noHBand="0" w:noVBand="1" w:val="04A0"/>
      </w:tblPr>
      <w:tblGrid>
        <w:gridCol w:w="10368"/>
      </w:tblGrid>
      <w:tr>
        <w:tc>
          <w:tcPr>
            <w:tcW w:type="dxa" w:w="10368"/>
            <w:shd w:fill="EAF4FB"/>
            <w:tcMar>
              <w:top w:w="70" w:type="dxa"/>
              <w:start w:w="90" w:type="dxa"/>
              <w:bottom w:w="70" w:type="dxa"/>
              <w:end w:w="90" w:type="dxa"/>
            </w:tcMar>
          </w:tcPr>
          <w:p>
            <w:r>
              <w:rPr>
                <w:b/>
              </w:rPr>
              <w:t xml:space="preserve">Executive recommendation. </w:t>
            </w:r>
            <w:r>
              <w:t>Deploy R001: E_COMMERCE + (Electronics or Gift Cards) + transaction amount &gt;= ₹20,000. On the validation period, R001 generated 616 alerts, achieved 70.13% precision, captured ₹18.55M of fraud value, and produced ₹14.73M of expected net savings after review and customer-friction costs. The rule uses approximately 30.8% of the 500-alert/month review capacity.</w:t>
            </w:r>
          </w:p>
        </w:tc>
      </w:tr>
    </w:tbl>
    <w:p>
      <w:pPr>
        <w:spacing w:before="120" w:after="40"/>
      </w:pPr>
      <w:r>
        <w:rPr>
          <w:b/>
          <w:color w:val="1F4E79"/>
          <w:sz w:val="25"/>
        </w:rPr>
        <w:t>1. Business problem</w:t>
      </w:r>
    </w:p>
    <w:p>
      <w:r>
        <w:t>The bank needs to reduce credit-card fraud losses while avoiding excessive customer friction and an unmanageable manual-review workload. The analysis focuses on loss concentration, fraud patterns, rule thresholds, validation performance, and financial value.</w:t>
      </w:r>
    </w:p>
    <w:p>
      <w:pPr>
        <w:spacing w:before="120" w:after="40"/>
      </w:pPr>
      <w:r>
        <w:rPr>
          <w:b/>
          <w:color w:val="1F4E79"/>
          <w:sz w:val="25"/>
        </w:rPr>
        <w:t>2. Executive baseline</w:t>
      </w:r>
    </w:p>
    <w:tbl>
      <w:tblPr>
        <w:tblW w:type="auto" w:w="0"/>
        <w:jc w:val="center"/>
        <w:tblLook w:firstColumn="1" w:firstRow="1" w:lastColumn="0" w:lastRow="0" w:noHBand="0" w:noVBand="1" w:val="04A0"/>
      </w:tblPr>
      <w:tblGrid>
        <w:gridCol w:w="5184"/>
        <w:gridCol w:w="5184"/>
      </w:tblGrid>
      <w:tr>
        <w:tc>
          <w:tcPr>
            <w:tcW w:type="dxa" w:w="5184"/>
            <w:shd w:fill="1F4E79"/>
            <w:tcMar>
              <w:top w:w="70" w:type="dxa"/>
              <w:start w:w="90" w:type="dxa"/>
              <w:bottom w:w="70" w:type="dxa"/>
              <w:end w:w="90" w:type="dxa"/>
            </w:tcMar>
          </w:tcPr>
          <w:p>
            <w:r>
              <w:rPr>
                <w:b/>
                <w:color w:val="FFFFFF"/>
                <w:sz w:val="17"/>
              </w:rPr>
              <w:t>Metric</w:t>
            </w:r>
          </w:p>
        </w:tc>
        <w:tc>
          <w:tcPr>
            <w:tcW w:type="dxa" w:w="5184"/>
            <w:shd w:fill="1F4E79"/>
            <w:tcMar>
              <w:top w:w="70" w:type="dxa"/>
              <w:start w:w="90" w:type="dxa"/>
              <w:bottom w:w="70" w:type="dxa"/>
              <w:end w:w="90" w:type="dxa"/>
            </w:tcMar>
          </w:tcPr>
          <w:p>
            <w:r>
              <w:rPr>
                <w:b/>
                <w:color w:val="FFFFFF"/>
                <w:sz w:val="17"/>
              </w:rPr>
              <w:t>FY2025 result</w:t>
            </w:r>
          </w:p>
        </w:tc>
      </w:tr>
      <w:tr>
        <w:tc>
          <w:tcPr>
            <w:tcW w:type="dxa" w:w="5184"/>
            <w:tcMar>
              <w:top w:w="70" w:type="dxa"/>
              <w:start w:w="90" w:type="dxa"/>
              <w:bottom w:w="70" w:type="dxa"/>
              <w:end w:w="90" w:type="dxa"/>
            </w:tcMar>
          </w:tcPr>
          <w:p>
            <w:r>
              <w:rPr>
                <w:sz w:val="17"/>
              </w:rPr>
              <w:t>Total transaction value</w:t>
            </w:r>
          </w:p>
        </w:tc>
        <w:tc>
          <w:tcPr>
            <w:tcW w:type="dxa" w:w="5184"/>
            <w:tcMar>
              <w:top w:w="70" w:type="dxa"/>
              <w:start w:w="90" w:type="dxa"/>
              <w:bottom w:w="70" w:type="dxa"/>
              <w:end w:w="90" w:type="dxa"/>
            </w:tcMar>
          </w:tcPr>
          <w:p>
            <w:r>
              <w:rPr>
                <w:sz w:val="17"/>
              </w:rPr>
              <w:t>₹3.76B</w:t>
            </w:r>
          </w:p>
        </w:tc>
      </w:tr>
      <w:tr>
        <w:tc>
          <w:tcPr>
            <w:tcW w:type="dxa" w:w="5184"/>
            <w:tcMar>
              <w:top w:w="70" w:type="dxa"/>
              <w:start w:w="90" w:type="dxa"/>
              <w:bottom w:w="70" w:type="dxa"/>
              <w:end w:w="90" w:type="dxa"/>
            </w:tcMar>
          </w:tcPr>
          <w:p>
            <w:r>
              <w:rPr>
                <w:sz w:val="17"/>
              </w:rPr>
              <w:t>Confirmed fraud transactions</w:t>
            </w:r>
          </w:p>
        </w:tc>
        <w:tc>
          <w:tcPr>
            <w:tcW w:type="dxa" w:w="5184"/>
            <w:tcMar>
              <w:top w:w="70" w:type="dxa"/>
              <w:start w:w="90" w:type="dxa"/>
              <w:bottom w:w="70" w:type="dxa"/>
              <w:end w:w="90" w:type="dxa"/>
            </w:tcMar>
          </w:tcPr>
          <w:p>
            <w:r>
              <w:rPr>
                <w:sz w:val="17"/>
              </w:rPr>
              <w:t>10,488</w:t>
            </w:r>
          </w:p>
        </w:tc>
      </w:tr>
      <w:tr>
        <w:tc>
          <w:tcPr>
            <w:tcW w:type="dxa" w:w="5184"/>
            <w:tcMar>
              <w:top w:w="70" w:type="dxa"/>
              <w:start w:w="90" w:type="dxa"/>
              <w:bottom w:w="70" w:type="dxa"/>
              <w:end w:w="90" w:type="dxa"/>
            </w:tcMar>
          </w:tcPr>
          <w:p>
            <w:r>
              <w:rPr>
                <w:sz w:val="17"/>
              </w:rPr>
              <w:t>Fraud rate</w:t>
            </w:r>
          </w:p>
        </w:tc>
        <w:tc>
          <w:tcPr>
            <w:tcW w:type="dxa" w:w="5184"/>
            <w:tcMar>
              <w:top w:w="70" w:type="dxa"/>
              <w:start w:w="90" w:type="dxa"/>
              <w:bottom w:w="70" w:type="dxa"/>
              <w:end w:w="90" w:type="dxa"/>
            </w:tcMar>
          </w:tcPr>
          <w:p>
            <w:r>
              <w:rPr>
                <w:sz w:val="17"/>
              </w:rPr>
              <w:t>0.70%</w:t>
            </w:r>
          </w:p>
        </w:tc>
      </w:tr>
      <w:tr>
        <w:tc>
          <w:tcPr>
            <w:tcW w:type="dxa" w:w="5184"/>
            <w:tcMar>
              <w:top w:w="70" w:type="dxa"/>
              <w:start w:w="90" w:type="dxa"/>
              <w:bottom w:w="70" w:type="dxa"/>
              <w:end w:w="90" w:type="dxa"/>
            </w:tcMar>
          </w:tcPr>
          <w:p>
            <w:r>
              <w:rPr>
                <w:sz w:val="17"/>
              </w:rPr>
              <w:t>Gross chargeback loss</w:t>
            </w:r>
          </w:p>
        </w:tc>
        <w:tc>
          <w:tcPr>
            <w:tcW w:type="dxa" w:w="5184"/>
            <w:tcMar>
              <w:top w:w="70" w:type="dxa"/>
              <w:start w:w="90" w:type="dxa"/>
              <w:bottom w:w="70" w:type="dxa"/>
              <w:end w:w="90" w:type="dxa"/>
            </w:tcMar>
          </w:tcPr>
          <w:p>
            <w:r>
              <w:rPr>
                <w:sz w:val="17"/>
              </w:rPr>
              <w:t>₹95.29M</w:t>
            </w:r>
          </w:p>
        </w:tc>
      </w:tr>
      <w:tr>
        <w:tc>
          <w:tcPr>
            <w:tcW w:type="dxa" w:w="5184"/>
            <w:tcMar>
              <w:top w:w="70" w:type="dxa"/>
              <w:start w:w="90" w:type="dxa"/>
              <w:bottom w:w="70" w:type="dxa"/>
              <w:end w:w="90" w:type="dxa"/>
            </w:tcMar>
          </w:tcPr>
          <w:p>
            <w:r>
              <w:rPr>
                <w:sz w:val="17"/>
              </w:rPr>
              <w:t>Recovered amount</w:t>
            </w:r>
          </w:p>
        </w:tc>
        <w:tc>
          <w:tcPr>
            <w:tcW w:type="dxa" w:w="5184"/>
            <w:tcMar>
              <w:top w:w="70" w:type="dxa"/>
              <w:start w:w="90" w:type="dxa"/>
              <w:bottom w:w="70" w:type="dxa"/>
              <w:end w:w="90" w:type="dxa"/>
            </w:tcMar>
          </w:tcPr>
          <w:p>
            <w:r>
              <w:rPr>
                <w:sz w:val="17"/>
              </w:rPr>
              <w:t>₹26.51M</w:t>
            </w:r>
          </w:p>
        </w:tc>
      </w:tr>
      <w:tr>
        <w:tc>
          <w:tcPr>
            <w:tcW w:type="dxa" w:w="5184"/>
            <w:tcMar>
              <w:top w:w="70" w:type="dxa"/>
              <w:start w:w="90" w:type="dxa"/>
              <w:bottom w:w="70" w:type="dxa"/>
              <w:end w:w="90" w:type="dxa"/>
            </w:tcMar>
          </w:tcPr>
          <w:p>
            <w:r>
              <w:rPr>
                <w:sz w:val="17"/>
              </w:rPr>
              <w:t>Net chargeback loss</w:t>
            </w:r>
          </w:p>
        </w:tc>
        <w:tc>
          <w:tcPr>
            <w:tcW w:type="dxa" w:w="5184"/>
            <w:tcMar>
              <w:top w:w="70" w:type="dxa"/>
              <w:start w:w="90" w:type="dxa"/>
              <w:bottom w:w="70" w:type="dxa"/>
              <w:end w:w="90" w:type="dxa"/>
            </w:tcMar>
          </w:tcPr>
          <w:p>
            <w:r>
              <w:rPr>
                <w:sz w:val="17"/>
              </w:rPr>
              <w:t>₹68.78M</w:t>
            </w:r>
          </w:p>
        </w:tc>
      </w:tr>
    </w:tbl>
    <w:p>
      <w:r>
        <w:t>The transaction-level fraud baseline uses confirmed chargebacks linked to the cleaned transaction fact. The overall chargeback loss baseline includes all 10,500 chargebacks, including 12 retained orphan chargeback records that could not be linked to the cleaned transaction fact.</w:t>
      </w:r>
    </w:p>
    <w:p>
      <w:pPr>
        <w:spacing w:before="120" w:after="40"/>
      </w:pPr>
      <w:r>
        <w:rPr>
          <w:b/>
          <w:color w:val="1F4E79"/>
          <w:sz w:val="25"/>
        </w:rPr>
        <w:t>3. Key analytical findings</w:t>
      </w:r>
    </w:p>
    <w:p>
      <w:r>
        <w:rPr>
          <w:b/>
        </w:rPr>
        <w:t xml:space="preserve">E-commerce concentration: </w:t>
      </w:r>
      <w:r>
        <w:t>E-commerce accounts for ₹57.75M of net chargeback loss, approximately 84% of total net loss.</w:t>
      </w:r>
    </w:p>
    <w:p>
      <w:r>
        <w:rPr>
          <w:b/>
        </w:rPr>
        <w:t xml:space="preserve">Category concentration: </w:t>
      </w:r>
      <w:r>
        <w:t>Electronics and Gift Cards together account for approximately ₹51.78M, about 75% of net chargeback loss.</w:t>
      </w:r>
    </w:p>
    <w:p>
      <w:r>
        <w:rPr>
          <w:b/>
        </w:rPr>
        <w:t xml:space="preserve">High-value concentration: </w:t>
      </w:r>
      <w:r>
        <w:t>Transactions above ₹25K represent only about 0.32% of transaction volume but account for about 55.87% of fraud value.</w:t>
      </w:r>
    </w:p>
    <w:p>
      <w:r>
        <w:rPr>
          <w:b/>
        </w:rPr>
        <w:t xml:space="preserve">Country mismatch: </w:t>
      </w:r>
      <w:r>
        <w:t>Country mismatch has a 1.22% fraud rate versus 0.60% for matched transactions, making it a useful supporting signal rather than a standalone rule.</w:t>
      </w:r>
    </w:p>
    <w:p>
      <w:r>
        <w:rPr>
          <w:b/>
        </w:rPr>
        <w:t xml:space="preserve">Card age: </w:t>
      </w:r>
      <w:r>
        <w:t>Fraud rates remain broadly flat across card-age cohorts, so card age is not a strong standalone trigger.</w:t>
      </w:r>
    </w:p>
    <w:p>
      <w:r>
        <w:rPr>
          <w:b/>
        </w:rPr>
        <w:t xml:space="preserve">Velocity: </w:t>
      </w:r>
      <w:r>
        <w:t>Simple 10-minute and 24-hour velocity counts show limited standalone separation and are better used in combination with other signals.</w:t>
      </w:r>
    </w:p>
    <w:p>
      <w:pPr>
        <w:spacing w:before="120" w:after="40"/>
      </w:pPr>
      <w:r>
        <w:rPr>
          <w:b/>
          <w:color w:val="1F4E79"/>
          <w:sz w:val="25"/>
        </w:rPr>
        <w:t>4. Recommended rule — R001</w:t>
      </w:r>
    </w:p>
    <w:p>
      <w:r>
        <w:rPr>
          <w:b/>
        </w:rPr>
        <w:t xml:space="preserve">Rule logic: </w:t>
      </w:r>
      <w:r>
        <w:t>IF channel = E_COMMERCE AND category IN {Electronics, Gift Cards} AND transaction amount &gt;= ₹20,000 THEN generate a manual-review alert.</w:t>
      </w:r>
    </w:p>
    <w:p>
      <w:r>
        <w:rPr>
          <w:b/>
        </w:rPr>
        <w:t xml:space="preserve">Why ₹20,000? </w:t>
      </w:r>
      <w:r>
        <w:t>Threshold analysis showed the expected trade-off: lower thresholds capture more fraud but generate more alerts and lower precision; higher thresholds improve precision but sacrifice fraud value. ₹20K was selected as the operating point for the final rule.</w:t>
      </w:r>
    </w:p>
    <w:p>
      <w:pPr>
        <w:spacing w:before="120" w:after="40"/>
      </w:pPr>
      <w:r>
        <w:rPr>
          <w:b/>
          <w:color w:val="1F4E79"/>
          <w:sz w:val="25"/>
        </w:rPr>
        <w:t>5. Validation performance and economics</w:t>
      </w:r>
    </w:p>
    <w:tbl>
      <w:tblPr>
        <w:tblW w:type="auto" w:w="0"/>
        <w:jc w:val="center"/>
        <w:tblLook w:firstColumn="1" w:firstRow="1" w:lastColumn="0" w:lastRow="0" w:noHBand="0" w:noVBand="1" w:val="04A0"/>
      </w:tblPr>
      <w:tblGrid>
        <w:gridCol w:w="3456"/>
        <w:gridCol w:w="3456"/>
        <w:gridCol w:w="3456"/>
      </w:tblGrid>
      <w:tr>
        <w:tc>
          <w:tcPr>
            <w:tcW w:type="dxa" w:w="3456"/>
            <w:shd w:fill="1F4E79"/>
            <w:tcMar>
              <w:top w:w="70" w:type="dxa"/>
              <w:start w:w="90" w:type="dxa"/>
              <w:bottom w:w="70" w:type="dxa"/>
              <w:end w:w="90" w:type="dxa"/>
            </w:tcMar>
          </w:tcPr>
          <w:p>
            <w:r>
              <w:rPr>
                <w:b/>
                <w:color w:val="FFFFFF"/>
                <w:sz w:val="17"/>
              </w:rPr>
              <w:t>Metric</w:t>
            </w:r>
          </w:p>
        </w:tc>
        <w:tc>
          <w:tcPr>
            <w:tcW w:type="dxa" w:w="3456"/>
            <w:shd w:fill="1F4E79"/>
            <w:tcMar>
              <w:top w:w="70" w:type="dxa"/>
              <w:start w:w="90" w:type="dxa"/>
              <w:bottom w:w="70" w:type="dxa"/>
              <w:end w:w="90" w:type="dxa"/>
            </w:tcMar>
          </w:tcPr>
          <w:p>
            <w:r>
              <w:rPr>
                <w:b/>
                <w:color w:val="FFFFFF"/>
                <w:sz w:val="17"/>
              </w:rPr>
              <w:t>R001</w:t>
            </w:r>
          </w:p>
        </w:tc>
        <w:tc>
          <w:tcPr>
            <w:tcW w:type="dxa" w:w="3456"/>
            <w:shd w:fill="1F4E79"/>
            <w:tcMar>
              <w:top w:w="70" w:type="dxa"/>
              <w:start w:w="90" w:type="dxa"/>
              <w:bottom w:w="70" w:type="dxa"/>
              <w:end w:w="90" w:type="dxa"/>
            </w:tcMar>
          </w:tcPr>
          <w:p>
            <w:r>
              <w:rPr>
                <w:b/>
                <w:color w:val="FFFFFF"/>
                <w:sz w:val="17"/>
              </w:rPr>
              <w:t>R002</w:t>
            </w:r>
          </w:p>
        </w:tc>
      </w:tr>
      <w:tr>
        <w:tc>
          <w:tcPr>
            <w:tcW w:type="dxa" w:w="3456"/>
            <w:tcMar>
              <w:top w:w="70" w:type="dxa"/>
              <w:start w:w="90" w:type="dxa"/>
              <w:bottom w:w="70" w:type="dxa"/>
              <w:end w:w="90" w:type="dxa"/>
            </w:tcMar>
          </w:tcPr>
          <w:p>
            <w:r>
              <w:rPr>
                <w:sz w:val="17"/>
              </w:rPr>
              <w:t>Validation alerts</w:t>
            </w:r>
          </w:p>
        </w:tc>
        <w:tc>
          <w:tcPr>
            <w:tcW w:type="dxa" w:w="3456"/>
            <w:tcMar>
              <w:top w:w="70" w:type="dxa"/>
              <w:start w:w="90" w:type="dxa"/>
              <w:bottom w:w="70" w:type="dxa"/>
              <w:end w:w="90" w:type="dxa"/>
            </w:tcMar>
          </w:tcPr>
          <w:p>
            <w:r>
              <w:rPr>
                <w:sz w:val="17"/>
              </w:rPr>
              <w:t>616</w:t>
            </w:r>
          </w:p>
        </w:tc>
        <w:tc>
          <w:tcPr>
            <w:tcW w:type="dxa" w:w="3456"/>
            <w:tcMar>
              <w:top w:w="70" w:type="dxa"/>
              <w:start w:w="90" w:type="dxa"/>
              <w:bottom w:w="70" w:type="dxa"/>
              <w:end w:w="90" w:type="dxa"/>
            </w:tcMar>
          </w:tcPr>
          <w:p>
            <w:r>
              <w:rPr>
                <w:sz w:val="17"/>
              </w:rPr>
              <w:t>781</w:t>
            </w:r>
          </w:p>
        </w:tc>
      </w:tr>
      <w:tr>
        <w:tc>
          <w:tcPr>
            <w:tcW w:type="dxa" w:w="3456"/>
            <w:tcMar>
              <w:top w:w="70" w:type="dxa"/>
              <w:start w:w="90" w:type="dxa"/>
              <w:bottom w:w="70" w:type="dxa"/>
              <w:end w:w="90" w:type="dxa"/>
            </w:tcMar>
          </w:tcPr>
          <w:p>
            <w:r>
              <w:rPr>
                <w:sz w:val="17"/>
              </w:rPr>
              <w:t>Precision</w:t>
            </w:r>
          </w:p>
        </w:tc>
        <w:tc>
          <w:tcPr>
            <w:tcW w:type="dxa" w:w="3456"/>
            <w:tcMar>
              <w:top w:w="70" w:type="dxa"/>
              <w:start w:w="90" w:type="dxa"/>
              <w:bottom w:w="70" w:type="dxa"/>
              <w:end w:w="90" w:type="dxa"/>
            </w:tcMar>
          </w:tcPr>
          <w:p>
            <w:r>
              <w:rPr>
                <w:sz w:val="17"/>
              </w:rPr>
              <w:t>70.13%</w:t>
            </w:r>
          </w:p>
        </w:tc>
        <w:tc>
          <w:tcPr>
            <w:tcW w:type="dxa" w:w="3456"/>
            <w:tcMar>
              <w:top w:w="70" w:type="dxa"/>
              <w:start w:w="90" w:type="dxa"/>
              <w:bottom w:w="70" w:type="dxa"/>
              <w:end w:w="90" w:type="dxa"/>
            </w:tcMar>
          </w:tcPr>
          <w:p>
            <w:r>
              <w:rPr>
                <w:sz w:val="17"/>
              </w:rPr>
              <w:t>91.68%</w:t>
            </w:r>
          </w:p>
        </w:tc>
      </w:tr>
      <w:tr>
        <w:tc>
          <w:tcPr>
            <w:tcW w:type="dxa" w:w="3456"/>
            <w:tcMar>
              <w:top w:w="70" w:type="dxa"/>
              <w:start w:w="90" w:type="dxa"/>
              <w:bottom w:w="70" w:type="dxa"/>
              <w:end w:w="90" w:type="dxa"/>
            </w:tcMar>
          </w:tcPr>
          <w:p>
            <w:r>
              <w:rPr>
                <w:sz w:val="17"/>
              </w:rPr>
              <w:t>Recall</w:t>
            </w:r>
          </w:p>
        </w:tc>
        <w:tc>
          <w:tcPr>
            <w:tcW w:type="dxa" w:w="3456"/>
            <w:tcMar>
              <w:top w:w="70" w:type="dxa"/>
              <w:start w:w="90" w:type="dxa"/>
              <w:bottom w:w="70" w:type="dxa"/>
              <w:end w:w="90" w:type="dxa"/>
            </w:tcMar>
          </w:tcPr>
          <w:p>
            <w:r>
              <w:rPr>
                <w:sz w:val="17"/>
              </w:rPr>
              <w:t>12.26%</w:t>
            </w:r>
          </w:p>
        </w:tc>
        <w:tc>
          <w:tcPr>
            <w:tcW w:type="dxa" w:w="3456"/>
            <w:tcMar>
              <w:top w:w="70" w:type="dxa"/>
              <w:start w:w="90" w:type="dxa"/>
              <w:bottom w:w="70" w:type="dxa"/>
              <w:end w:w="90" w:type="dxa"/>
            </w:tcMar>
          </w:tcPr>
          <w:p>
            <w:r>
              <w:rPr>
                <w:sz w:val="17"/>
              </w:rPr>
              <w:t>20.32%</w:t>
            </w:r>
          </w:p>
        </w:tc>
      </w:tr>
      <w:tr>
        <w:tc>
          <w:tcPr>
            <w:tcW w:type="dxa" w:w="3456"/>
            <w:tcMar>
              <w:top w:w="70" w:type="dxa"/>
              <w:start w:w="90" w:type="dxa"/>
              <w:bottom w:w="70" w:type="dxa"/>
              <w:end w:w="90" w:type="dxa"/>
            </w:tcMar>
          </w:tcPr>
          <w:p>
            <w:r>
              <w:rPr>
                <w:sz w:val="17"/>
              </w:rPr>
              <w:t>Fraud value caught</w:t>
            </w:r>
          </w:p>
        </w:tc>
        <w:tc>
          <w:tcPr>
            <w:tcW w:type="dxa" w:w="3456"/>
            <w:tcMar>
              <w:top w:w="70" w:type="dxa"/>
              <w:start w:w="90" w:type="dxa"/>
              <w:bottom w:w="70" w:type="dxa"/>
              <w:end w:w="90" w:type="dxa"/>
            </w:tcMar>
          </w:tcPr>
          <w:p>
            <w:r>
              <w:rPr>
                <w:sz w:val="17"/>
              </w:rPr>
              <w:t>₹18.55M</w:t>
            </w:r>
          </w:p>
        </w:tc>
        <w:tc>
          <w:tcPr>
            <w:tcW w:type="dxa" w:w="3456"/>
            <w:tcMar>
              <w:top w:w="70" w:type="dxa"/>
              <w:start w:w="90" w:type="dxa"/>
              <w:bottom w:w="70" w:type="dxa"/>
              <w:end w:w="90" w:type="dxa"/>
            </w:tcMar>
          </w:tcPr>
          <w:p>
            <w:r>
              <w:rPr>
                <w:sz w:val="17"/>
              </w:rPr>
              <w:t>₹18.49K</w:t>
            </w:r>
          </w:p>
        </w:tc>
      </w:tr>
      <w:tr>
        <w:tc>
          <w:tcPr>
            <w:tcW w:type="dxa" w:w="3456"/>
            <w:tcMar>
              <w:top w:w="70" w:type="dxa"/>
              <w:start w:w="90" w:type="dxa"/>
              <w:bottom w:w="70" w:type="dxa"/>
              <w:end w:w="90" w:type="dxa"/>
            </w:tcMar>
          </w:tcPr>
          <w:p>
            <w:r>
              <w:rPr>
                <w:sz w:val="17"/>
              </w:rPr>
              <w:t>Expected net savings</w:t>
            </w:r>
          </w:p>
        </w:tc>
        <w:tc>
          <w:tcPr>
            <w:tcW w:type="dxa" w:w="3456"/>
            <w:tcMar>
              <w:top w:w="70" w:type="dxa"/>
              <w:start w:w="90" w:type="dxa"/>
              <w:bottom w:w="70" w:type="dxa"/>
              <w:end w:w="90" w:type="dxa"/>
            </w:tcMar>
          </w:tcPr>
          <w:p>
            <w:r>
              <w:rPr>
                <w:sz w:val="17"/>
              </w:rPr>
              <w:t>₹14.73M</w:t>
            </w:r>
          </w:p>
        </w:tc>
        <w:tc>
          <w:tcPr>
            <w:tcW w:type="dxa" w:w="3456"/>
            <w:tcMar>
              <w:top w:w="70" w:type="dxa"/>
              <w:start w:w="90" w:type="dxa"/>
              <w:bottom w:w="70" w:type="dxa"/>
              <w:end w:w="90" w:type="dxa"/>
            </w:tcMar>
          </w:tcPr>
          <w:p>
            <w:r>
              <w:rPr>
                <w:sz w:val="17"/>
              </w:rPr>
              <w:t>-₹108.85K</w:t>
            </w:r>
          </w:p>
        </w:tc>
      </w:tr>
    </w:tbl>
    <w:p>
      <w:r>
        <w:t>R001 is preferred even though R002 has higher precision. R001 captures materially more monetary loss and produces positive expected economics. R002 is better positioned as a targeted preventive card-testing control rather than the primary manual-review rule.</w:t>
      </w:r>
    </w:p>
    <w:p>
      <w:pPr>
        <w:spacing w:before="120" w:after="40"/>
      </w:pPr>
      <w:r>
        <w:rPr>
          <w:b/>
          <w:color w:val="1F4E79"/>
          <w:sz w:val="25"/>
        </w:rPr>
        <w:t>6. R001 business case</w:t>
      </w:r>
    </w:p>
    <w:tbl>
      <w:tblPr>
        <w:tblW w:type="auto" w:w="0"/>
        <w:jc w:val="center"/>
        <w:tblLook w:firstColumn="1" w:firstRow="1" w:lastColumn="0" w:lastRow="0" w:noHBand="0" w:noVBand="1" w:val="04A0"/>
      </w:tblPr>
      <w:tblGrid>
        <w:gridCol w:w="5184"/>
        <w:gridCol w:w="5184"/>
      </w:tblGrid>
      <w:tr>
        <w:tc>
          <w:tcPr>
            <w:tcW w:type="dxa" w:w="5184"/>
            <w:shd w:fill="1F4E79"/>
            <w:tcMar>
              <w:top w:w="70" w:type="dxa"/>
              <w:start w:w="90" w:type="dxa"/>
              <w:bottom w:w="70" w:type="dxa"/>
              <w:end w:w="90" w:type="dxa"/>
            </w:tcMar>
          </w:tcPr>
          <w:p>
            <w:r>
              <w:rPr>
                <w:b/>
                <w:color w:val="FFFFFF"/>
                <w:sz w:val="17"/>
              </w:rPr>
              <w:t>Business-case component</w:t>
            </w:r>
          </w:p>
        </w:tc>
        <w:tc>
          <w:tcPr>
            <w:tcW w:type="dxa" w:w="5184"/>
            <w:shd w:fill="1F4E79"/>
            <w:tcMar>
              <w:top w:w="70" w:type="dxa"/>
              <w:start w:w="90" w:type="dxa"/>
              <w:bottom w:w="70" w:type="dxa"/>
              <w:end w:w="90" w:type="dxa"/>
            </w:tcMar>
          </w:tcPr>
          <w:p>
            <w:r>
              <w:rPr>
                <w:b/>
                <w:color w:val="FFFFFF"/>
                <w:sz w:val="17"/>
              </w:rPr>
              <w:t>Validation result</w:t>
            </w:r>
          </w:p>
        </w:tc>
      </w:tr>
      <w:tr>
        <w:tc>
          <w:tcPr>
            <w:tcW w:type="dxa" w:w="5184"/>
            <w:tcMar>
              <w:top w:w="70" w:type="dxa"/>
              <w:start w:w="90" w:type="dxa"/>
              <w:bottom w:w="70" w:type="dxa"/>
              <w:end w:w="90" w:type="dxa"/>
            </w:tcMar>
          </w:tcPr>
          <w:p>
            <w:r>
              <w:rPr>
                <w:sz w:val="17"/>
              </w:rPr>
              <w:t>Fraud value caught</w:t>
            </w:r>
          </w:p>
        </w:tc>
        <w:tc>
          <w:tcPr>
            <w:tcW w:type="dxa" w:w="5184"/>
            <w:tcMar>
              <w:top w:w="70" w:type="dxa"/>
              <w:start w:w="90" w:type="dxa"/>
              <w:bottom w:w="70" w:type="dxa"/>
              <w:end w:w="90" w:type="dxa"/>
            </w:tcMar>
          </w:tcPr>
          <w:p>
            <w:r>
              <w:rPr>
                <w:sz w:val="17"/>
              </w:rPr>
              <w:t>₹18.55M</w:t>
            </w:r>
          </w:p>
        </w:tc>
      </w:tr>
      <w:tr>
        <w:tc>
          <w:tcPr>
            <w:tcW w:type="dxa" w:w="5184"/>
            <w:tcMar>
              <w:top w:w="70" w:type="dxa"/>
              <w:start w:w="90" w:type="dxa"/>
              <w:bottom w:w="70" w:type="dxa"/>
              <w:end w:w="90" w:type="dxa"/>
            </w:tcMar>
          </w:tcPr>
          <w:p>
            <w:r>
              <w:rPr>
                <w:sz w:val="17"/>
              </w:rPr>
              <w:t>Assumed fraud prevention rate</w:t>
            </w:r>
          </w:p>
        </w:tc>
        <w:tc>
          <w:tcPr>
            <w:tcW w:type="dxa" w:w="5184"/>
            <w:tcMar>
              <w:top w:w="70" w:type="dxa"/>
              <w:start w:w="90" w:type="dxa"/>
              <w:bottom w:w="70" w:type="dxa"/>
              <w:end w:w="90" w:type="dxa"/>
            </w:tcMar>
          </w:tcPr>
          <w:p>
            <w:r>
              <w:rPr>
                <w:sz w:val="17"/>
              </w:rPr>
              <w:t>80%</w:t>
            </w:r>
          </w:p>
        </w:tc>
      </w:tr>
      <w:tr>
        <w:tc>
          <w:tcPr>
            <w:tcW w:type="dxa" w:w="5184"/>
            <w:tcMar>
              <w:top w:w="70" w:type="dxa"/>
              <w:start w:w="90" w:type="dxa"/>
              <w:bottom w:w="70" w:type="dxa"/>
              <w:end w:w="90" w:type="dxa"/>
            </w:tcMar>
          </w:tcPr>
          <w:p>
            <w:r>
              <w:rPr>
                <w:sz w:val="17"/>
              </w:rPr>
              <w:t>Expected prevented loss</w:t>
            </w:r>
          </w:p>
        </w:tc>
        <w:tc>
          <w:tcPr>
            <w:tcW w:type="dxa" w:w="5184"/>
            <w:tcMar>
              <w:top w:w="70" w:type="dxa"/>
              <w:start w:w="90" w:type="dxa"/>
              <w:bottom w:w="70" w:type="dxa"/>
              <w:end w:w="90" w:type="dxa"/>
            </w:tcMar>
          </w:tcPr>
          <w:p>
            <w:r>
              <w:rPr>
                <w:sz w:val="17"/>
              </w:rPr>
              <w:t>₹14.84M</w:t>
            </w:r>
          </w:p>
        </w:tc>
      </w:tr>
      <w:tr>
        <w:tc>
          <w:tcPr>
            <w:tcW w:type="dxa" w:w="5184"/>
            <w:tcMar>
              <w:top w:w="70" w:type="dxa"/>
              <w:start w:w="90" w:type="dxa"/>
              <w:bottom w:w="70" w:type="dxa"/>
              <w:end w:w="90" w:type="dxa"/>
            </w:tcMar>
          </w:tcPr>
          <w:p>
            <w:r>
              <w:rPr>
                <w:sz w:val="17"/>
              </w:rPr>
              <w:t>Review cost</w:t>
            </w:r>
          </w:p>
        </w:tc>
        <w:tc>
          <w:tcPr>
            <w:tcW w:type="dxa" w:w="5184"/>
            <w:tcMar>
              <w:top w:w="70" w:type="dxa"/>
              <w:start w:w="90" w:type="dxa"/>
              <w:bottom w:w="70" w:type="dxa"/>
              <w:end w:w="90" w:type="dxa"/>
            </w:tcMar>
          </w:tcPr>
          <w:p>
            <w:r>
              <w:rPr>
                <w:sz w:val="17"/>
              </w:rPr>
              <w:t>₹92.40K</w:t>
            </w:r>
          </w:p>
        </w:tc>
      </w:tr>
      <w:tr>
        <w:tc>
          <w:tcPr>
            <w:tcW w:type="dxa" w:w="5184"/>
            <w:tcMar>
              <w:top w:w="70" w:type="dxa"/>
              <w:start w:w="90" w:type="dxa"/>
              <w:bottom w:w="70" w:type="dxa"/>
              <w:end w:w="90" w:type="dxa"/>
            </w:tcMar>
          </w:tcPr>
          <w:p>
            <w:r>
              <w:rPr>
                <w:sz w:val="17"/>
              </w:rPr>
              <w:t>Customer-friction cost</w:t>
            </w:r>
          </w:p>
        </w:tc>
        <w:tc>
          <w:tcPr>
            <w:tcW w:type="dxa" w:w="5184"/>
            <w:tcMar>
              <w:top w:w="70" w:type="dxa"/>
              <w:start w:w="90" w:type="dxa"/>
              <w:bottom w:w="70" w:type="dxa"/>
              <w:end w:w="90" w:type="dxa"/>
            </w:tcMar>
          </w:tcPr>
          <w:p>
            <w:r>
              <w:rPr>
                <w:sz w:val="17"/>
              </w:rPr>
              <w:t>₹18.40K</w:t>
            </w:r>
          </w:p>
        </w:tc>
      </w:tr>
      <w:tr>
        <w:tc>
          <w:tcPr>
            <w:tcW w:type="dxa" w:w="5184"/>
            <w:tcMar>
              <w:top w:w="70" w:type="dxa"/>
              <w:start w:w="90" w:type="dxa"/>
              <w:bottom w:w="70" w:type="dxa"/>
              <w:end w:w="90" w:type="dxa"/>
            </w:tcMar>
          </w:tcPr>
          <w:p>
            <w:r>
              <w:rPr>
                <w:sz w:val="17"/>
              </w:rPr>
              <w:t>Expected net savings</w:t>
            </w:r>
          </w:p>
        </w:tc>
        <w:tc>
          <w:tcPr>
            <w:tcW w:type="dxa" w:w="5184"/>
            <w:tcMar>
              <w:top w:w="70" w:type="dxa"/>
              <w:start w:w="90" w:type="dxa"/>
              <w:bottom w:w="70" w:type="dxa"/>
              <w:end w:w="90" w:type="dxa"/>
            </w:tcMar>
          </w:tcPr>
          <w:p>
            <w:r>
              <w:rPr>
                <w:sz w:val="17"/>
              </w:rPr>
              <w:t>₹14.73M</w:t>
            </w:r>
          </w:p>
        </w:tc>
      </w:tr>
      <w:tr>
        <w:tc>
          <w:tcPr>
            <w:tcW w:type="dxa" w:w="5184"/>
            <w:tcMar>
              <w:top w:w="70" w:type="dxa"/>
              <w:start w:w="90" w:type="dxa"/>
              <w:bottom w:w="70" w:type="dxa"/>
              <w:end w:w="90" w:type="dxa"/>
            </w:tcMar>
          </w:tcPr>
          <w:p>
            <w:r>
              <w:rPr>
                <w:sz w:val="17"/>
              </w:rPr>
              <w:t>Average alerts/month</w:t>
            </w:r>
          </w:p>
        </w:tc>
        <w:tc>
          <w:tcPr>
            <w:tcW w:type="dxa" w:w="5184"/>
            <w:tcMar>
              <w:top w:w="70" w:type="dxa"/>
              <w:start w:w="90" w:type="dxa"/>
              <w:bottom w:w="70" w:type="dxa"/>
              <w:end w:w="90" w:type="dxa"/>
            </w:tcMar>
          </w:tcPr>
          <w:p>
            <w:r>
              <w:rPr>
                <w:sz w:val="17"/>
              </w:rPr>
              <w:t>154</w:t>
            </w:r>
          </w:p>
        </w:tc>
      </w:tr>
      <w:tr>
        <w:tc>
          <w:tcPr>
            <w:tcW w:type="dxa" w:w="5184"/>
            <w:tcMar>
              <w:top w:w="70" w:type="dxa"/>
              <w:start w:w="90" w:type="dxa"/>
              <w:bottom w:w="70" w:type="dxa"/>
              <w:end w:w="90" w:type="dxa"/>
            </w:tcMar>
          </w:tcPr>
          <w:p>
            <w:r>
              <w:rPr>
                <w:sz w:val="17"/>
              </w:rPr>
              <w:t>Review capacity</w:t>
            </w:r>
          </w:p>
        </w:tc>
        <w:tc>
          <w:tcPr>
            <w:tcW w:type="dxa" w:w="5184"/>
            <w:tcMar>
              <w:top w:w="70" w:type="dxa"/>
              <w:start w:w="90" w:type="dxa"/>
              <w:bottom w:w="70" w:type="dxa"/>
              <w:end w:w="90" w:type="dxa"/>
            </w:tcMar>
          </w:tcPr>
          <w:p>
            <w:r>
              <w:rPr>
                <w:sz w:val="17"/>
              </w:rPr>
              <w:t>500 alerts/month</w:t>
            </w:r>
          </w:p>
        </w:tc>
      </w:tr>
      <w:tr>
        <w:tc>
          <w:tcPr>
            <w:tcW w:type="dxa" w:w="5184"/>
            <w:tcMar>
              <w:top w:w="70" w:type="dxa"/>
              <w:start w:w="90" w:type="dxa"/>
              <w:bottom w:w="70" w:type="dxa"/>
              <w:end w:w="90" w:type="dxa"/>
            </w:tcMar>
          </w:tcPr>
          <w:p>
            <w:r>
              <w:rPr>
                <w:sz w:val="17"/>
              </w:rPr>
              <w:t>Capacity utilization</w:t>
            </w:r>
          </w:p>
        </w:tc>
        <w:tc>
          <w:tcPr>
            <w:tcW w:type="dxa" w:w="5184"/>
            <w:tcMar>
              <w:top w:w="70" w:type="dxa"/>
              <w:start w:w="90" w:type="dxa"/>
              <w:bottom w:w="70" w:type="dxa"/>
              <w:end w:w="90" w:type="dxa"/>
            </w:tcMar>
          </w:tcPr>
          <w:p>
            <w:r>
              <w:rPr>
                <w:sz w:val="17"/>
              </w:rPr>
              <w:t>30.8%</w:t>
            </w:r>
          </w:p>
        </w:tc>
      </w:tr>
    </w:tbl>
    <w:p>
      <w:pPr>
        <w:spacing w:before="120" w:after="40"/>
      </w:pPr>
      <w:r>
        <w:rPr>
          <w:b/>
          <w:color w:val="1F4E79"/>
          <w:sz w:val="25"/>
        </w:rPr>
        <w:t>7. Typology coverage and control limitations</w:t>
      </w:r>
    </w:p>
    <w:tbl>
      <w:tblPr>
        <w:tblW w:type="auto" w:w="0"/>
        <w:jc w:val="center"/>
        <w:tblLook w:firstColumn="1" w:firstRow="1" w:lastColumn="0" w:lastRow="0" w:noHBand="0" w:noVBand="1" w:val="04A0"/>
      </w:tblPr>
      <w:tblGrid>
        <w:gridCol w:w="3456"/>
        <w:gridCol w:w="3456"/>
        <w:gridCol w:w="3456"/>
      </w:tblGrid>
      <w:tr>
        <w:tc>
          <w:tcPr>
            <w:tcW w:type="dxa" w:w="3456"/>
            <w:shd w:fill="1F4E79"/>
            <w:tcMar>
              <w:top w:w="70" w:type="dxa"/>
              <w:start w:w="90" w:type="dxa"/>
              <w:bottom w:w="70" w:type="dxa"/>
              <w:end w:w="90" w:type="dxa"/>
            </w:tcMar>
          </w:tcPr>
          <w:p>
            <w:r>
              <w:rPr>
                <w:b/>
                <w:color w:val="FFFFFF"/>
                <w:sz w:val="17"/>
              </w:rPr>
              <w:t>Fraud typology</w:t>
            </w:r>
          </w:p>
        </w:tc>
        <w:tc>
          <w:tcPr>
            <w:tcW w:type="dxa" w:w="3456"/>
            <w:shd w:fill="1F4E79"/>
            <w:tcMar>
              <w:top w:w="70" w:type="dxa"/>
              <w:start w:w="90" w:type="dxa"/>
              <w:bottom w:w="70" w:type="dxa"/>
              <w:end w:w="90" w:type="dxa"/>
            </w:tcMar>
          </w:tcPr>
          <w:p>
            <w:r>
              <w:rPr>
                <w:b/>
                <w:color w:val="FFFFFF"/>
                <w:sz w:val="17"/>
              </w:rPr>
              <w:t>Validation fraud events</w:t>
            </w:r>
          </w:p>
        </w:tc>
        <w:tc>
          <w:tcPr>
            <w:tcW w:type="dxa" w:w="3456"/>
            <w:shd w:fill="1F4E79"/>
            <w:tcMar>
              <w:top w:w="70" w:type="dxa"/>
              <w:start w:w="90" w:type="dxa"/>
              <w:bottom w:w="70" w:type="dxa"/>
              <w:end w:w="90" w:type="dxa"/>
            </w:tcMar>
          </w:tcPr>
          <w:p>
            <w:r>
              <w:rPr>
                <w:b/>
                <w:color w:val="FFFFFF"/>
                <w:sz w:val="17"/>
              </w:rPr>
              <w:t>R001 recall</w:t>
            </w:r>
          </w:p>
        </w:tc>
      </w:tr>
      <w:tr>
        <w:tc>
          <w:tcPr>
            <w:tcW w:type="dxa" w:w="3456"/>
            <w:tcMar>
              <w:top w:w="70" w:type="dxa"/>
              <w:start w:w="90" w:type="dxa"/>
              <w:bottom w:w="70" w:type="dxa"/>
              <w:end w:w="90" w:type="dxa"/>
            </w:tcMar>
          </w:tcPr>
          <w:p>
            <w:r>
              <w:rPr>
                <w:sz w:val="17"/>
              </w:rPr>
              <w:t>Account takeover</w:t>
            </w:r>
          </w:p>
        </w:tc>
        <w:tc>
          <w:tcPr>
            <w:tcW w:type="dxa" w:w="3456"/>
            <w:tcMar>
              <w:top w:w="70" w:type="dxa"/>
              <w:start w:w="90" w:type="dxa"/>
              <w:bottom w:w="70" w:type="dxa"/>
              <w:end w:w="90" w:type="dxa"/>
            </w:tcMar>
          </w:tcPr>
          <w:p>
            <w:r>
              <w:rPr>
                <w:sz w:val="17"/>
              </w:rPr>
              <w:t>693</w:t>
            </w:r>
          </w:p>
        </w:tc>
        <w:tc>
          <w:tcPr>
            <w:tcW w:type="dxa" w:w="3456"/>
            <w:tcMar>
              <w:top w:w="70" w:type="dxa"/>
              <w:start w:w="90" w:type="dxa"/>
              <w:bottom w:w="70" w:type="dxa"/>
              <w:end w:w="90" w:type="dxa"/>
            </w:tcMar>
          </w:tcPr>
          <w:p>
            <w:r>
              <w:rPr>
                <w:sz w:val="17"/>
              </w:rPr>
              <w:t>61.90%</w:t>
            </w:r>
          </w:p>
        </w:tc>
      </w:tr>
      <w:tr>
        <w:tc>
          <w:tcPr>
            <w:tcW w:type="dxa" w:w="3456"/>
            <w:tcMar>
              <w:top w:w="70" w:type="dxa"/>
              <w:start w:w="90" w:type="dxa"/>
              <w:bottom w:w="70" w:type="dxa"/>
              <w:end w:w="90" w:type="dxa"/>
            </w:tcMar>
          </w:tcPr>
          <w:p>
            <w:r>
              <w:rPr>
                <w:sz w:val="17"/>
              </w:rPr>
              <w:t>Card testing</w:t>
            </w:r>
          </w:p>
        </w:tc>
        <w:tc>
          <w:tcPr>
            <w:tcW w:type="dxa" w:w="3456"/>
            <w:tcMar>
              <w:top w:w="70" w:type="dxa"/>
              <w:start w:w="90" w:type="dxa"/>
              <w:bottom w:w="70" w:type="dxa"/>
              <w:end w:w="90" w:type="dxa"/>
            </w:tcMar>
          </w:tcPr>
          <w:p>
            <w:r>
              <w:rPr>
                <w:sz w:val="17"/>
              </w:rPr>
              <w:t>716</w:t>
            </w:r>
          </w:p>
        </w:tc>
        <w:tc>
          <w:tcPr>
            <w:tcW w:type="dxa" w:w="3456"/>
            <w:tcMar>
              <w:top w:w="70" w:type="dxa"/>
              <w:start w:w="90" w:type="dxa"/>
              <w:bottom w:w="70" w:type="dxa"/>
              <w:end w:w="90" w:type="dxa"/>
            </w:tcMar>
          </w:tcPr>
          <w:p>
            <w:r>
              <w:rPr>
                <w:sz w:val="17"/>
              </w:rPr>
              <w:t>0.00%</w:t>
            </w:r>
          </w:p>
        </w:tc>
      </w:tr>
      <w:tr>
        <w:tc>
          <w:tcPr>
            <w:tcW w:type="dxa" w:w="3456"/>
            <w:tcMar>
              <w:top w:w="70" w:type="dxa"/>
              <w:start w:w="90" w:type="dxa"/>
              <w:bottom w:w="70" w:type="dxa"/>
              <w:end w:w="90" w:type="dxa"/>
            </w:tcMar>
          </w:tcPr>
          <w:p>
            <w:r>
              <w:rPr>
                <w:sz w:val="17"/>
              </w:rPr>
              <w:t>CNP high-risk merchant</w:t>
            </w:r>
          </w:p>
        </w:tc>
        <w:tc>
          <w:tcPr>
            <w:tcW w:type="dxa" w:w="3456"/>
            <w:tcMar>
              <w:top w:w="70" w:type="dxa"/>
              <w:start w:w="90" w:type="dxa"/>
              <w:bottom w:w="70" w:type="dxa"/>
              <w:end w:w="90" w:type="dxa"/>
            </w:tcMar>
          </w:tcPr>
          <w:p>
            <w:r>
              <w:rPr>
                <w:sz w:val="17"/>
              </w:rPr>
              <w:t>622</w:t>
            </w:r>
          </w:p>
        </w:tc>
        <w:tc>
          <w:tcPr>
            <w:tcW w:type="dxa" w:w="3456"/>
            <w:tcMar>
              <w:top w:w="70" w:type="dxa"/>
              <w:start w:w="90" w:type="dxa"/>
              <w:bottom w:w="70" w:type="dxa"/>
              <w:end w:w="90" w:type="dxa"/>
            </w:tcMar>
          </w:tcPr>
          <w:p>
            <w:r>
              <w:rPr>
                <w:sz w:val="17"/>
              </w:rPr>
              <w:t>0.00%</w:t>
            </w:r>
          </w:p>
        </w:tc>
      </w:tr>
      <w:tr>
        <w:tc>
          <w:tcPr>
            <w:tcW w:type="dxa" w:w="3456"/>
            <w:tcMar>
              <w:top w:w="70" w:type="dxa"/>
              <w:start w:w="90" w:type="dxa"/>
              <w:bottom w:w="70" w:type="dxa"/>
              <w:end w:w="90" w:type="dxa"/>
            </w:tcMar>
          </w:tcPr>
          <w:p>
            <w:r>
              <w:rPr>
                <w:sz w:val="17"/>
              </w:rPr>
              <w:t>Compromised terminal</w:t>
            </w:r>
          </w:p>
        </w:tc>
        <w:tc>
          <w:tcPr>
            <w:tcW w:type="dxa" w:w="3456"/>
            <w:tcMar>
              <w:top w:w="70" w:type="dxa"/>
              <w:start w:w="90" w:type="dxa"/>
              <w:bottom w:w="70" w:type="dxa"/>
              <w:end w:w="90" w:type="dxa"/>
            </w:tcMar>
          </w:tcPr>
          <w:p>
            <w:r>
              <w:rPr>
                <w:sz w:val="17"/>
              </w:rPr>
              <w:t>506</w:t>
            </w:r>
          </w:p>
        </w:tc>
        <w:tc>
          <w:tcPr>
            <w:tcW w:type="dxa" w:w="3456"/>
            <w:tcMar>
              <w:top w:w="70" w:type="dxa"/>
              <w:start w:w="90" w:type="dxa"/>
              <w:bottom w:w="70" w:type="dxa"/>
              <w:end w:w="90" w:type="dxa"/>
            </w:tcMar>
          </w:tcPr>
          <w:p>
            <w:r>
              <w:rPr>
                <w:sz w:val="17"/>
              </w:rPr>
              <w:t>0.20%</w:t>
            </w:r>
          </w:p>
        </w:tc>
      </w:tr>
      <w:tr>
        <w:tc>
          <w:tcPr>
            <w:tcW w:type="dxa" w:w="3456"/>
            <w:tcMar>
              <w:top w:w="70" w:type="dxa"/>
              <w:start w:w="90" w:type="dxa"/>
              <w:bottom w:w="70" w:type="dxa"/>
              <w:end w:w="90" w:type="dxa"/>
            </w:tcMar>
          </w:tcPr>
          <w:p>
            <w:r>
              <w:rPr>
                <w:sz w:val="17"/>
              </w:rPr>
              <w:t>Cross-border spike</w:t>
            </w:r>
          </w:p>
        </w:tc>
        <w:tc>
          <w:tcPr>
            <w:tcW w:type="dxa" w:w="3456"/>
            <w:tcMar>
              <w:top w:w="70" w:type="dxa"/>
              <w:start w:w="90" w:type="dxa"/>
              <w:bottom w:w="70" w:type="dxa"/>
              <w:end w:w="90" w:type="dxa"/>
            </w:tcMar>
          </w:tcPr>
          <w:p>
            <w:r>
              <w:rPr>
                <w:sz w:val="17"/>
              </w:rPr>
              <w:t>509</w:t>
            </w:r>
          </w:p>
        </w:tc>
        <w:tc>
          <w:tcPr>
            <w:tcW w:type="dxa" w:w="3456"/>
            <w:tcMar>
              <w:top w:w="70" w:type="dxa"/>
              <w:start w:w="90" w:type="dxa"/>
              <w:bottom w:w="70" w:type="dxa"/>
              <w:end w:w="90" w:type="dxa"/>
            </w:tcMar>
          </w:tcPr>
          <w:p>
            <w:r>
              <w:rPr>
                <w:sz w:val="17"/>
              </w:rPr>
              <w:t>0.20%</w:t>
            </w:r>
          </w:p>
        </w:tc>
      </w:tr>
      <w:tr>
        <w:tc>
          <w:tcPr>
            <w:tcW w:type="dxa" w:w="3456"/>
            <w:tcMar>
              <w:top w:w="70" w:type="dxa"/>
              <w:start w:w="90" w:type="dxa"/>
              <w:bottom w:w="70" w:type="dxa"/>
              <w:end w:w="90" w:type="dxa"/>
            </w:tcMar>
          </w:tcPr>
          <w:p>
            <w:r>
              <w:rPr>
                <w:sz w:val="17"/>
              </w:rPr>
              <w:t>Impossible travel</w:t>
            </w:r>
          </w:p>
        </w:tc>
        <w:tc>
          <w:tcPr>
            <w:tcW w:type="dxa" w:w="3456"/>
            <w:tcMar>
              <w:top w:w="70" w:type="dxa"/>
              <w:start w:w="90" w:type="dxa"/>
              <w:bottom w:w="70" w:type="dxa"/>
              <w:end w:w="90" w:type="dxa"/>
            </w:tcMar>
          </w:tcPr>
          <w:p>
            <w:r>
              <w:rPr>
                <w:sz w:val="17"/>
              </w:rPr>
              <w:t>478</w:t>
            </w:r>
          </w:p>
        </w:tc>
        <w:tc>
          <w:tcPr>
            <w:tcW w:type="dxa" w:w="3456"/>
            <w:tcMar>
              <w:top w:w="70" w:type="dxa"/>
              <w:start w:w="90" w:type="dxa"/>
              <w:bottom w:w="70" w:type="dxa"/>
              <w:end w:w="90" w:type="dxa"/>
            </w:tcMar>
          </w:tcPr>
          <w:p>
            <w:r>
              <w:rPr>
                <w:sz w:val="17"/>
              </w:rPr>
              <w:t>0.21%</w:t>
            </w:r>
          </w:p>
        </w:tc>
      </w:tr>
    </w:tbl>
    <w:p>
      <w:r>
        <w:t>R001 is primarily an account-takeover/high-value e-commerce loss-prevention control. It should not be treated as a complete fraud-detection system; complementary controls are required for typologies not covered by R001.</w:t>
      </w:r>
    </w:p>
    <w:p>
      <w:pPr>
        <w:spacing w:before="120" w:after="40"/>
      </w:pPr>
      <w:r>
        <w:rPr>
          <w:b/>
          <w:color w:val="1F4E79"/>
          <w:sz w:val="25"/>
        </w:rPr>
        <w:t>8. Deployment recommendation</w:t>
      </w:r>
    </w:p>
    <w:p>
      <w:r>
        <w:rPr>
          <w:b/>
        </w:rPr>
        <w:t xml:space="preserve">• </w:t>
      </w:r>
      <w:r>
        <w:t>Deploy R001 as the primary manual-review control in a controlled production/pilot phase.</w:t>
      </w:r>
    </w:p>
    <w:p>
      <w:r>
        <w:rPr>
          <w:b/>
        </w:rPr>
        <w:t xml:space="preserve">• </w:t>
      </w:r>
      <w:r>
        <w:t>Retain R002 as a targeted preventive/card-testing control rather than a manual-review rule under the current cost assumptions.</w:t>
      </w:r>
    </w:p>
    <w:p>
      <w:r>
        <w:rPr>
          <w:b/>
        </w:rPr>
        <w:t xml:space="preserve">• </w:t>
      </w:r>
      <w:r>
        <w:t>Monitor alert volume, precision, prevented fraud value, customer friction, and reviewer capacity after deployment.</w:t>
      </w:r>
    </w:p>
    <w:p>
      <w:r>
        <w:rPr>
          <w:b/>
        </w:rPr>
        <w:t xml:space="preserve">• </w:t>
      </w:r>
      <w:r>
        <w:t>Recalibrate thresholds using fresh labeled outcomes and time-based backtesting as the fraud environment changes.</w:t>
      </w:r>
    </w:p>
    <w:p>
      <w:r>
        <w:rPr>
          <w:b/>
        </w:rPr>
        <w:t xml:space="preserve">• </w:t>
      </w:r>
      <w:r>
        <w:t>Maintain complementary controls for fraud typologies not covered by R001.</w:t>
      </w:r>
    </w:p>
    <w:p>
      <w:pPr>
        <w:spacing w:before="120" w:after="40"/>
      </w:pPr>
      <w:r>
        <w:rPr>
          <w:b/>
          <w:color w:val="1F4E79"/>
          <w:sz w:val="25"/>
        </w:rPr>
        <w:t>9. Assumptions and limitations</w:t>
      </w:r>
    </w:p>
    <w:p>
      <w:r>
        <w:t>The business case assumes an 80% fraud-prevention rate, ₹150 review cost per alert, ₹100 customer-friction cost per legitimate alert, and a 500-alert/month review capacity. These are scenario assumptions rather than observed production costs. The dataset is synthetic and includes injected fraud typologies and data-quality issues designed for analytical testing. Validation is time-based, with development and validation periods separated to reduce future leakage. Results should therefore be treated as a project recommendation framework and recalibrated with real bank outcomes before production deployment.</w:t>
      </w:r>
    </w:p>
    <w:sectPr w:rsidR="00FC693F" w:rsidRPr="0006063C" w:rsidSect="00034616">
      <w:footerReference w:type="default" r:id="rId9"/>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Credit Card Fraud Pattern &amp; Loss Analysis | Management Recommendation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