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117" w:val="clear"/>
        <w:spacing w:before="240" w:after="8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📈  NSE Market Intelligence Dashboard</w:t>
      </w:r>
    </w:p>
    <w:p>
      <w:pPr>
        <w:shd w:fill="0D1117" w:val="clear"/>
        <w:spacing w:after="60"/>
        <w:jc w:val="center"/>
      </w:pPr>
      <w:r>
        <w:rPr>
          <w:rFonts w:ascii="Arial" w:cs="Arial" w:eastAsia="Arial" w:hAnsi="Arial"/>
          <w:color w:val="7A8899"/>
          <w:sz w:val="22"/>
          <w:szCs w:val="22"/>
        </w:rPr>
        <w:t xml:space="preserve">Risk · Return · Valuation Analysis across Market Cap Categories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6B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Streamlit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C85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Plotly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22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FY2024-25</w:t>
            </w:r>
          </w:p>
        </w:tc>
      </w:tr>
    </w:tbl>
    <w:p>
      <w:pPr>
        <w:spacing w:after="120"/>
      </w:pPr>
    </w:p>
    <w:p>
      <w:pPr>
        <w:pBdr>
          <w:bottom w:val="single" w:color="00D4FF" w:sz="6" w:space="1"/>
        </w:pBdr>
        <w:spacing w:before="200" w:after="200"/>
      </w:pP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Project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Project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Dataset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Tech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 Installation &amp;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7. Dashboard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8. SQL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9. Key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10. Screenshots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11.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12. License</w:t>
      </w:r>
    </w:p>
    <w:p>
      <w:pPr>
        <w:pBdr>
          <w:bottom w:val="single" w:color="00D4FF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NSE Market Intelligence Dashboard is a comprehensive financial analytics tool built to analyze, visualize, and interpret the performance of major National Stock Exchange (NSE) indices across different market capitalization categories.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Modeled after a professional trading terminal, the dashboard presents real-time-style analytics using FY2024-25 data, enabling investors, researchers, and finance students to make informed comparisons across risk, return, and valuation dimensions.</w:t>
      </w:r>
    </w:p>
    <w:p>
      <w:pPr>
        <w:spacing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Analyze multi-period CAGR performance (1Y, 3Y, 5Y) across 10 NSE indices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Quantify and compare risk levels using volatility and composite risk scores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Evaluate valuation metrics including P/E, P/B, and a composite valuation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Compute risk-adjusted returns to identify the most efficient indices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 sector and market-cap category comparisons via heatmaps and radar 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Enable single-index deep-dive analysis with universe benchmarking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 and query index data using a normalized MySQL schema</w:t>
      </w:r>
    </w:p>
    <w:p>
      <w:pPr>
        <w:spacing w:after="120"/>
      </w:pPr>
    </w:p>
    <w:p>
      <w:pPr>
        <w:pBdr>
          <w:bottom w:val="single" w:color="00D4FF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3. Project Structure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0F2138"/>
          <w:sz w:val="20"/>
          <w:szCs w:val="20"/>
        </w:rPr>
        <w:t xml:space="preserve">NSE_Index_Analytics/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0F2138"/>
          <w:sz w:val="20"/>
          <w:szCs w:val="20"/>
        </w:rPr>
        <w:t xml:space="preserve">├── data/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0F2138"/>
          <w:sz w:val="20"/>
          <w:szCs w:val="20"/>
        </w:rPr>
        <w:t xml:space="preserve">│   ├── raw/                    # nse_index_raw.csv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0F2138"/>
          <w:sz w:val="20"/>
          <w:szCs w:val="20"/>
        </w:rPr>
        <w:t xml:space="preserve">│   └── processed/              # nse_index_clean.csv, nse_index_final.csv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0F2138"/>
          <w:sz w:val="20"/>
          <w:szCs w:val="20"/>
        </w:rPr>
        <w:t xml:space="preserve">├── scripts/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0F2138"/>
          <w:sz w:val="20"/>
          <w:szCs w:val="20"/>
        </w:rPr>
        <w:t xml:space="preserve">│   ├── 01_data_loading.py      # Load and inspect raw data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0F2138"/>
          <w:sz w:val="20"/>
          <w:szCs w:val="20"/>
        </w:rPr>
        <w:t xml:space="preserve">│   ├── 02_data_cleaning.py     # Standardize columns, handle nulls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0F2138"/>
          <w:sz w:val="20"/>
          <w:szCs w:val="20"/>
        </w:rPr>
        <w:t xml:space="preserve">│   └── 03_feature_engineering.py  # Derived features &amp; labels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0F2138"/>
          <w:sz w:val="20"/>
          <w:szCs w:val="20"/>
        </w:rPr>
        <w:t xml:space="preserve">├── sql/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0F2138"/>
          <w:sz w:val="20"/>
          <w:szCs w:val="20"/>
        </w:rPr>
        <w:t xml:space="preserve">│   └── sqlnse_index_queries.sql   # MySQL schema &amp; analytics queries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0F2138"/>
          <w:sz w:val="20"/>
          <w:szCs w:val="20"/>
        </w:rPr>
        <w:t xml:space="preserve">└── streamlit_dashboard.py          # Interactive dashboard (main app)</w:t>
      </w:r>
    </w:p>
    <w:p>
      <w:pPr>
        <w:spacing w:after="120"/>
      </w:pPr>
    </w:p>
    <w:p>
      <w:pPr>
        <w:pBdr>
          <w:bottom w:val="single" w:color="00D4FF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4. Dataset Description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dataset covers 10 major NSE indices for FY2024-25. Below are the key fields: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index_name</w:t>
            </w:r>
          </w:p>
        </w:tc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name of the NSE index</w:t>
            </w:r>
          </w:p>
        </w:tc>
      </w:tr>
      <w:tr>
        <w:tc>
          <w:tcPr>
            <w:tcW w:type="dxa" w:w="26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market_cap_category</w:t>
            </w:r>
          </w:p>
        </w:tc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Large / Mid / Small / Micro / Sectoral</w:t>
            </w:r>
          </w:p>
        </w:tc>
      </w:tr>
      <w:tr>
        <w:tc>
          <w:tcPr>
            <w:tcW w:type="dxa" w:w="26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cagr_1y / 3y / 5y</w:t>
            </w:r>
          </w:p>
        </w:tc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Compound Annual Growth Rate (%)</w:t>
            </w:r>
          </w:p>
        </w:tc>
      </w:tr>
      <w:tr>
        <w:tc>
          <w:tcPr>
            <w:tcW w:type="dxa" w:w="26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volatility</w:t>
            </w:r>
          </w:p>
        </w:tc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Annualized volatility as risk proxy (%)</w:t>
            </w:r>
          </w:p>
        </w:tc>
      </w:tr>
      <w:tr>
        <w:tc>
          <w:tcPr>
            <w:tcW w:type="dxa" w:w="26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avg_pe</w:t>
            </w:r>
          </w:p>
        </w:tc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Average Price-to-Earnings ratio</w:t>
            </w:r>
          </w:p>
        </w:tc>
      </w:tr>
      <w:tr>
        <w:tc>
          <w:tcPr>
            <w:tcW w:type="dxa" w:w="26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avg_pb</w:t>
            </w:r>
          </w:p>
        </w:tc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Average Price-to-Book ratio</w:t>
            </w:r>
          </w:p>
        </w:tc>
      </w:tr>
      <w:tr>
        <w:tc>
          <w:tcPr>
            <w:tcW w:type="dxa" w:w="26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index_level</w:t>
            </w:r>
          </w:p>
        </w:tc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Current index value</w:t>
            </w:r>
          </w:p>
        </w:tc>
      </w:tr>
      <w:tr>
        <w:tc>
          <w:tcPr>
            <w:tcW w:type="dxa" w:w="26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risk_level</w:t>
            </w:r>
          </w:p>
        </w:tc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Categorical: Low / Medium / High / Very High / Extreme</w:t>
            </w:r>
          </w:p>
        </w:tc>
      </w:tr>
      <w:tr>
        <w:tc>
          <w:tcPr>
            <w:tcW w:type="dxa" w:w="26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risk_score</w:t>
            </w:r>
          </w:p>
        </w:tc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Numeric mapping of risk_level (1-5)</w:t>
            </w:r>
          </w:p>
        </w:tc>
      </w:tr>
      <w:tr>
        <w:tc>
          <w:tcPr>
            <w:tcW w:type="dxa" w:w="26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return_category</w:t>
            </w:r>
          </w:p>
        </w:tc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Moderate / High / Very High / Excellent</w:t>
            </w:r>
          </w:p>
        </w:tc>
      </w:tr>
      <w:tr>
        <w:tc>
          <w:tcPr>
            <w:tcW w:type="dxa" w:w="26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risk_adjusted_return</w:t>
            </w:r>
          </w:p>
        </w:tc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5Y CAGR / Volatility ratio</w:t>
            </w:r>
          </w:p>
        </w:tc>
      </w:tr>
      <w:tr>
        <w:tc>
          <w:tcPr>
            <w:tcW w:type="dxa" w:w="26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valuation_score</w:t>
            </w:r>
          </w:p>
        </w:tc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Composite overvaluation score: avg_pe × avg_pb</w:t>
            </w:r>
          </w:p>
        </w:tc>
      </w:tr>
    </w:tbl>
    <w:p>
      <w:pPr>
        <w:spacing w:after="120"/>
      </w:pPr>
    </w:p>
    <w:p>
      <w:pPr>
        <w:pBdr>
          <w:bottom w:val="single" w:color="00D4FF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5. Tech Stack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/ Pandas</w:t>
            </w:r>
          </w:p>
        </w:tc>
        <w:tc>
          <w:tcPr>
            <w:tcW w:type="dxa" w:w="456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ETL pipeline: loading, cleaning, feature engineering</w:t>
            </w:r>
          </w:p>
        </w:tc>
      </w:tr>
      <w:tr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Plotly</w:t>
            </w:r>
          </w:p>
        </w:tc>
        <w:tc>
          <w:tcPr>
            <w:tcW w:type="dxa" w:w="456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Interactive charts, scatter plots, radar, heatmaps</w:t>
            </w:r>
          </w:p>
        </w:tc>
      </w:tr>
      <w:tr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Dashboard UI</w:t>
            </w:r>
          </w:p>
        </w:tc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Streamlit</w:t>
            </w:r>
          </w:p>
        </w:tc>
        <w:tc>
          <w:tcPr>
            <w:tcW w:type="dxa" w:w="456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Web-based UI with sidebar filters, tabs, KPI cards</w:t>
            </w:r>
          </w:p>
        </w:tc>
      </w:tr>
      <w:tr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MySQL</w:t>
            </w:r>
          </w:p>
        </w:tc>
        <w:tc>
          <w:tcPr>
            <w:tcW w:type="dxa" w:w="456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Relational schema with analytics queries</w:t>
            </w:r>
          </w:p>
        </w:tc>
      </w:tr>
      <w:tr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CSS</w:t>
            </w:r>
          </w:p>
        </w:tc>
        <w:tc>
          <w:tcPr>
            <w:tcW w:type="dxa" w:w="456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Trading terminal dark theme with Space Mono font</w:t>
            </w:r>
          </w:p>
        </w:tc>
      </w:tr>
      <w:tr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Export</w:t>
            </w:r>
          </w:p>
        </w:tc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Pandas CSV</w:t>
            </w:r>
          </w:p>
        </w:tc>
        <w:tc>
          <w:tcPr>
            <w:tcW w:type="dxa" w:w="456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One-click dataset export from sidebar</w:t>
            </w:r>
          </w:p>
        </w:tc>
      </w:tr>
    </w:tbl>
    <w:p>
      <w:pPr>
        <w:spacing w:after="120"/>
      </w:pPr>
    </w:p>
    <w:p>
      <w:pPr>
        <w:pBdr>
          <w:bottom w:val="single" w:color="00D4FF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6. Installation &amp; Setup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138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Python 3.10 or higher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pip package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MySQL 8.0+ (optional, for SQL analytics)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138"/>
          <w:sz w:val="24"/>
          <w:szCs w:val="24"/>
        </w:rPr>
        <w:t xml:space="preserve">Step 1 – Clone the Repository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0F2138"/>
          <w:sz w:val="20"/>
          <w:szCs w:val="20"/>
        </w:rPr>
        <w:t xml:space="preserve">git clone https://github.com/yourusername/nse-index-analytics.git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0F2138"/>
          <w:sz w:val="20"/>
          <w:szCs w:val="20"/>
        </w:rPr>
        <w:t xml:space="preserve">cd nse-index-analytics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138"/>
          <w:sz w:val="24"/>
          <w:szCs w:val="24"/>
        </w:rPr>
        <w:t xml:space="preserve">Step 2 – Install Dependencies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0F2138"/>
          <w:sz w:val="20"/>
          <w:szCs w:val="20"/>
        </w:rPr>
        <w:t xml:space="preserve">pip install streamlit pandas plotly numpy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138"/>
          <w:sz w:val="24"/>
          <w:szCs w:val="24"/>
        </w:rPr>
        <w:t xml:space="preserve">Step 3 – Run the ETL Pipeline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0F2138"/>
          <w:sz w:val="20"/>
          <w:szCs w:val="20"/>
        </w:rPr>
        <w:t xml:space="preserve">python scripts/01_data_loading.py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0F2138"/>
          <w:sz w:val="20"/>
          <w:szCs w:val="20"/>
        </w:rPr>
        <w:t xml:space="preserve">python scripts/02_data_cleaning.py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0F2138"/>
          <w:sz w:val="20"/>
          <w:szCs w:val="20"/>
        </w:rPr>
        <w:t xml:space="preserve">python scripts/03_feature_engineering.py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138"/>
          <w:sz w:val="24"/>
          <w:szCs w:val="24"/>
        </w:rPr>
        <w:t xml:space="preserve">Step 4 – Launch the Dashboard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0F2138"/>
          <w:sz w:val="20"/>
          <w:szCs w:val="20"/>
        </w:rPr>
        <w:t xml:space="preserve">streamlit run streamlit_dashboard.py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Then open your browser at: http://localhost:8501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138"/>
          <w:sz w:val="24"/>
          <w:szCs w:val="24"/>
        </w:rPr>
        <w:t xml:space="preserve">Step 5 – MySQL Setup (Optional)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0F2138"/>
          <w:sz w:val="20"/>
          <w:szCs w:val="20"/>
        </w:rPr>
        <w:t xml:space="preserve">mysql -u root -p &lt; sql/sqlnse_index_queries.sql</w:t>
      </w:r>
    </w:p>
    <w:p>
      <w:pPr>
        <w:spacing w:after="120"/>
      </w:pPr>
    </w:p>
    <w:p>
      <w:pPr>
        <w:pBdr>
          <w:bottom w:val="single" w:color="00D4FF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7. Dashboard Features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Tab</w:t>
            </w:r>
          </w:p>
        </w:tc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Section</w:t>
            </w:r>
          </w:p>
        </w:tc>
        <w:tc>
          <w:tcPr>
            <w:tcW w:type="dxa" w:w="476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2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📈 Returns</w:t>
            </w:r>
          </w:p>
        </w:tc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CAGR Analysis</w:t>
            </w:r>
          </w:p>
        </w:tc>
        <w:tc>
          <w:tcPr>
            <w:tcW w:type="dxa" w:w="476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Multi-period grouped bar, ranking bar, momentum scatter, segment heatmap</w:t>
            </w:r>
          </w:p>
        </w:tc>
      </w:tr>
      <w:tr>
        <w:tc>
          <w:tcPr>
            <w:tcW w:type="dxa" w:w="22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⚠️ Risk</w:t>
            </w:r>
          </w:p>
        </w:tc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Risk Metrics</w:t>
            </w:r>
          </w:p>
        </w:tc>
        <w:tc>
          <w:tcPr>
            <w:tcW w:type="dxa" w:w="476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Risk distribution donut, volatility bars, risk-return scatter, radar chart</w:t>
            </w:r>
          </w:p>
        </w:tc>
      </w:tr>
      <w:tr>
        <w:tc>
          <w:tcPr>
            <w:tcW w:type="dxa" w:w="22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💰 Valuation</w:t>
            </w:r>
          </w:p>
        </w:tc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 / PB Analysis</w:t>
            </w:r>
          </w:p>
        </w:tc>
        <w:tc>
          <w:tcPr>
            <w:tcW w:type="dxa" w:w="476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Dual-axis P/E+P/B chart, valuation score bars, PE vs PB quadrant, AI insights</w:t>
            </w:r>
          </w:p>
        </w:tc>
      </w:tr>
      <w:tr>
        <w:tc>
          <w:tcPr>
            <w:tcW w:type="dxa" w:w="22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🎯 Efficiency</w:t>
            </w:r>
          </w:p>
        </w:tc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Risk-Adj Returns</w:t>
            </w:r>
          </w:p>
        </w:tc>
        <w:tc>
          <w:tcPr>
            <w:tcW w:type="dxa" w:w="476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RAR ranking bar, top-5 indicator tiles, efficiency frontier, return categories</w:t>
            </w:r>
          </w:p>
        </w:tc>
      </w:tr>
      <w:tr>
        <w:tc>
          <w:tcPr>
            <w:tcW w:type="dxa" w:w="22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🔍 Deep Dive</w:t>
            </w:r>
          </w:p>
        </w:tc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Index</w:t>
            </w:r>
          </w:p>
        </w:tc>
        <w:tc>
          <w:tcPr>
            <w:tcW w:type="dxa" w:w="476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Per-index KPIs, CAGR bars, metric strength, universe comparison, AI analysis</w:t>
            </w:r>
          </w:p>
        </w:tc>
      </w:tr>
      <w:tr>
        <w:tc>
          <w:tcPr>
            <w:tcW w:type="dxa" w:w="22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📋 Data Table</w:t>
            </w:r>
          </w:p>
        </w:tc>
        <w:tc>
          <w:tcPr>
            <w:tcW w:type="dxa" w:w="24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Dataset</w:t>
            </w:r>
          </w:p>
        </w:tc>
        <w:tc>
          <w:tcPr>
            <w:tcW w:type="dxa" w:w="476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Sortable styled table with color-coded risk, summary statistics</w:t>
            </w:r>
          </w:p>
        </w:tc>
      </w:tr>
    </w:tbl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F2138"/>
          <w:sz w:val="24"/>
          <w:szCs w:val="24"/>
        </w:rPr>
        <w:t xml:space="preserve">Sidebar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Market Cap Category multi-select filter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Risk Level multi-select filter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CAGR Horizon selector (1Y / 3Y / 5Y) used in ranking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One-click CSV download for the filtered dataset</w:t>
      </w:r>
    </w:p>
    <w:p>
      <w:pPr>
        <w:spacing w:after="120"/>
      </w:pPr>
    </w:p>
    <w:p>
      <w:pPr>
        <w:pBdr>
          <w:bottom w:val="single" w:color="00D4FF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8. SQL Analytics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project includes a complete MySQL schema with six pre-written analytics queries for interview-ready demonstration: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720"/>
        <w:gridCol w:w="4200"/>
      </w:tblGrid>
      <w:tr>
        <w:trPr>
          <w:tblHeader/>
        </w:trPr>
        <w:tc>
          <w:tcPr>
            <w:tcW w:type="dxa" w:w="144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#</w:t>
            </w:r>
          </w:p>
        </w:tc>
        <w:tc>
          <w:tcPr>
            <w:tcW w:type="dxa" w:w="372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Query</w:t>
            </w:r>
          </w:p>
        </w:tc>
        <w:tc>
          <w:tcPr>
            <w:tcW w:type="dxa" w:w="42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4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Q1</w:t>
            </w:r>
          </w:p>
        </w:tc>
        <w:tc>
          <w:tcPr>
            <w:tcW w:type="dxa" w:w="372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 5 indices by 5Y CAGR</w:t>
            </w:r>
          </w:p>
        </w:tc>
        <w:tc>
          <w:tcPr>
            <w:tcW w:type="dxa" w:w="42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Ranked list of highest-returning indices</w:t>
            </w:r>
          </w:p>
        </w:tc>
      </w:tr>
      <w:tr>
        <w:tc>
          <w:tcPr>
            <w:tcW w:type="dxa" w:w="144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Q2</w:t>
            </w:r>
          </w:p>
        </w:tc>
        <w:tc>
          <w:tcPr>
            <w:tcW w:type="dxa" w:w="372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Risk vs Return overview</w:t>
            </w:r>
          </w:p>
        </w:tc>
        <w:tc>
          <w:tcPr>
            <w:tcW w:type="dxa" w:w="42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Volatility and CAGR side-by-side</w:t>
            </w:r>
          </w:p>
        </w:tc>
      </w:tr>
      <w:tr>
        <w:tc>
          <w:tcPr>
            <w:tcW w:type="dxa" w:w="144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Q3</w:t>
            </w:r>
          </w:p>
        </w:tc>
        <w:tc>
          <w:tcPr>
            <w:tcW w:type="dxa" w:w="372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Best risk-adjusted returns</w:t>
            </w:r>
          </w:p>
        </w:tc>
        <w:tc>
          <w:tcPr>
            <w:tcW w:type="dxa" w:w="42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Efficiency ranking across all indices</w:t>
            </w:r>
          </w:p>
        </w:tc>
      </w:tr>
      <w:tr>
        <w:tc>
          <w:tcPr>
            <w:tcW w:type="dxa" w:w="144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Q4</w:t>
            </w:r>
          </w:p>
        </w:tc>
        <w:tc>
          <w:tcPr>
            <w:tcW w:type="dxa" w:w="372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Overvalued indices by PE×PB score</w:t>
            </w:r>
          </w:p>
        </w:tc>
        <w:tc>
          <w:tcPr>
            <w:tcW w:type="dxa" w:w="42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Valuation risk ranking</w:t>
            </w:r>
          </w:p>
        </w:tc>
      </w:tr>
      <w:tr>
        <w:tc>
          <w:tcPr>
            <w:tcW w:type="dxa" w:w="144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Q5</w:t>
            </w:r>
          </w:p>
        </w:tc>
        <w:tc>
          <w:tcPr>
            <w:tcW w:type="dxa" w:w="372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Avg CAGR &amp; volatility by market segment</w:t>
            </w:r>
          </w:p>
        </w:tc>
        <w:tc>
          <w:tcPr>
            <w:tcW w:type="dxa" w:w="42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Grouped aggregation by market_cap_category</w:t>
            </w:r>
          </w:p>
        </w:tc>
      </w:tr>
      <w:tr>
        <w:tc>
          <w:tcPr>
            <w:tcW w:type="dxa" w:w="144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Q6</w:t>
            </w:r>
          </w:p>
        </w:tc>
        <w:tc>
          <w:tcPr>
            <w:tcW w:type="dxa" w:w="372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 vs Extreme risk comparison</w:t>
            </w:r>
          </w:p>
        </w:tc>
        <w:tc>
          <w:tcPr>
            <w:tcW w:type="dxa" w:w="4200"/>
            <w:tcBorders>
              <w:top w:val="single" w:color="1E2736" w:sz="1"/>
              <w:left w:val="single" w:color="1E2736" w:sz="1"/>
              <w:bottom w:val="single" w:color="1E2736" w:sz="1"/>
              <w:right w:val="single" w:color="1E2736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Filtered comparison of risk extremes</w:t>
            </w:r>
          </w:p>
        </w:tc>
      </w:tr>
    </w:tbl>
    <w:p>
      <w:pPr>
        <w:spacing w:after="120"/>
      </w:pPr>
    </w:p>
    <w:p>
      <w:pPr>
        <w:pBdr>
          <w:bottom w:val="single" w:color="00D4FF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9. Key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NIFTY FMCG delivers the best risk-adjusted return (1.585) thanks to low volatility (9.4%) despite a modest 5Y CAGR of 14.9%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NIFTY MICROCAP 250 offers the highest 5Y CAGR (23.7%) but also carries the most risk (volatility 27.6%, rated Extreme)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NIFTY BANK has the lowest risk-adjusted return (0.831), meaning investors are not being adequately compensated for its volatility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NIFTY FMCG has the highest valuation score (461) — investors are paying a heavy premium, reflecting defensive sector demand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Large Cap indices (NIFTY 50, NIFTY NEXT 50) offer the best balance of risk and return for conservative investors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Mid Cap indices outperform Large Caps on raw CAGR with only moderately higher volatility — a compelling risk-return trade-off</w:t>
      </w:r>
    </w:p>
    <w:p>
      <w:pPr>
        <w:spacing w:after="120"/>
      </w:pPr>
    </w:p>
    <w:p>
      <w:pPr>
        <w:pBdr>
          <w:bottom w:val="single" w:color="00D4FF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10. Screenshots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dashboard renders in a dark trading-terminal theme with the following views: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Header with live-data badge and 6 KPI metric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Returns tab: grouped CAGR bars, momentum scatter, segment heatmap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Risk tab: donut chart, volatility bars, risk-return scatter, radar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Valuation tab: dual-axis P/E+P/B, valuation score bars, quadrant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Efficiency tab: RAR ranking bar, indicator tiles, efficiency frontier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Deep Dive tab: single-index deep analysis with universe comparison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(Refer to the screenshot provided during project submission for a full preview.)</w:t>
      </w:r>
    </w:p>
    <w:p>
      <w:pPr>
        <w:spacing w:after="120"/>
      </w:pPr>
    </w:p>
    <w:p>
      <w:pPr>
        <w:pBdr>
          <w:bottom w:val="single" w:color="00D4FF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11.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Integrate NSE live API for real-time index data feed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portfolio simulator: pick indices, allocate weights, simulate returns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Expand dataset to include 30+ indices and 5+ years of monthly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Monte Carlo simulation for forward-looking risk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Deploy on Streamlit Cloud / Hugging Face Spaces for public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authentication layer for personalized watchlists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PDF reports directly from the dashboard</w:t>
      </w:r>
    </w:p>
    <w:p>
      <w:pPr>
        <w:spacing w:after="120"/>
      </w:pPr>
    </w:p>
    <w:p>
      <w:pPr>
        <w:pBdr>
          <w:bottom w:val="single" w:color="00D4FF" w:sz="6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12. License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project is built for educational and portfolio demonstration purposes only. All data is simulated/indicative based on publicly available NSE India market information for FY2024-25.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NOT investment advice. Always consult a SEBI-registered financial advisor before making investment decisions.</w:t>
      </w:r>
    </w:p>
    <w:p>
      <w:pPr>
        <w:spacing w:after="120"/>
      </w:pPr>
    </w:p>
    <w:p>
      <w:pPr>
        <w:spacing w:before="320" w:after="120"/>
        <w:jc w:val="center"/>
      </w:pPr>
      <w:r>
        <w:rPr>
          <w:rFonts w:ascii="Arial" w:cs="Arial" w:eastAsia="Arial" w:hAnsi="Arial"/>
          <w:i/>
          <w:iCs/>
          <w:color w:val="7A8899"/>
          <w:sz w:val="20"/>
          <w:szCs w:val="20"/>
        </w:rPr>
        <w:t xml:space="preserve">—  Built with ❤️ by a Financial Analytics Enthusiast  —</w:t>
      </w:r>
    </w:p>
    <w:p>
      <w:pPr>
        <w:jc w:val="center"/>
      </w:pPr>
      <w:r>
        <w:rPr>
          <w:rFonts w:ascii="Arial" w:cs="Arial" w:eastAsia="Arial" w:hAnsi="Arial"/>
          <w:color w:val="C0C8D0"/>
          <w:sz w:val="18"/>
          <w:szCs w:val="18"/>
        </w:rPr>
        <w:t xml:space="preserve">NSE Market Intelligence Dashboard · FY2024-25 · Python · Streamlit · Plotly · MySQL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2736" w:sz="4" w:space="1"/>
      </w:pBdr>
      <w:jc w:val="center"/>
    </w:pPr>
    <w:r>
      <w:rPr>
        <w:rFonts w:ascii="Arial" w:cs="Arial" w:eastAsia="Arial" w:hAnsi="Arial"/>
        <w:color w:val="7A8899"/>
        <w:sz w:val="18"/>
        <w:szCs w:val="18"/>
      </w:rPr>
      <w:t xml:space="preserve">For analytical &amp; educational purposes only  ·  Not investment advice  ·  Page </w:t>
    </w:r>
    <w:r>
      <w:rPr>
        <w:rFonts w:ascii="Arial" w:cs="Arial" w:eastAsia="Arial" w:hAnsi="Arial"/>
        <w:color w:val="7A88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F" w:sz="6" w:space="1"/>
      </w:pBdr>
    </w:pPr>
    <w:r>
      <w:rPr>
        <w:rFonts w:ascii="Arial" w:cs="Arial" w:eastAsia="Arial" w:hAnsi="Arial"/>
        <w:b/>
        <w:bCs/>
        <w:color w:val="0D1117"/>
        <w:sz w:val="22"/>
        <w:szCs w:val="22"/>
      </w:rPr>
      <w:t xml:space="preserve">NSE Market Intelligence Dashboard</w:t>
    </w:r>
    <w:r>
      <w:rPr>
        <w:rFonts w:ascii="Arial" w:cs="Arial" w:eastAsia="Arial" w:hAnsi="Arial"/>
        <w:color w:val="7A8899"/>
        <w:sz w:val="20"/>
        <w:szCs w:val="20"/>
      </w:rPr>
      <w:t xml:space="preserve">    |    Project README    |    FY2024-25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D111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21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2026-03-05T06:11:45.708Z</dcterms:created>
  <dcterms:modified xsi:type="dcterms:W3CDTF">2026-03-05T06:11:45.709Z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