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4DB" w:rsidRPr="001E6B01" w:rsidRDefault="001E6B0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(N</m:t>
              </m:r>
            </m:e>
            <m:sub>
              <m:r>
                <w:rPr>
                  <w:rFonts w:ascii="Cambria Math" w:hAnsi="Cambria Math"/>
                </w:rPr>
                <m:t>tar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curr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BL</m:t>
              </m:r>
            </m:sub>
          </m:sSub>
        </m:oMath>
      </m:oMathPara>
    </w:p>
    <w:p w:rsidR="001E6B01" w:rsidRDefault="001E6B01" w:rsidP="00054431">
      <w:pPr>
        <w:pStyle w:val="ListParagraph"/>
        <w:numPr>
          <w:ilvl w:val="0"/>
          <w:numId w:val="1"/>
        </w:numPr>
        <w:spacing w:before="120"/>
      </w:pPr>
      <w:r>
        <w:t>Calculate the BL curve:</w:t>
      </w:r>
    </w:p>
    <w:p w:rsidR="001E6B01" w:rsidRPr="00054431" w:rsidRDefault="003A14EA" w:rsidP="001E6B01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ro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macro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cow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ρgsinα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ro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rw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den>
              </m:f>
            </m:den>
          </m:f>
        </m:oMath>
      </m:oMathPara>
    </w:p>
    <w:p w:rsidR="00054431" w:rsidRDefault="00054431" w:rsidP="001E6B01">
      <w:pPr>
        <w:pStyle w:val="ListParagraph"/>
      </w:pPr>
      <w:r>
        <w:t>For now, ignore the capillary pressure effects. Then,</w:t>
      </w:r>
    </w:p>
    <w:p w:rsidR="00054431" w:rsidRPr="00054431" w:rsidRDefault="003A14EA" w:rsidP="00054431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rg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macro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ρgsinα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rw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den>
              </m:f>
            </m:den>
          </m:f>
        </m:oMath>
      </m:oMathPara>
    </w:p>
    <w:p w:rsidR="00054431" w:rsidRDefault="0074072A" w:rsidP="0074072A">
      <w:pPr>
        <w:pStyle w:val="ListParagraph"/>
        <w:numPr>
          <w:ilvl w:val="0"/>
          <w:numId w:val="1"/>
        </w:numPr>
      </w:pPr>
      <w:r>
        <w:t>Relative perm curves:</w:t>
      </w:r>
      <w:r w:rsidR="00AA6D76">
        <w:t xml:space="preserve"> Corey Brooks</w:t>
      </w:r>
    </w:p>
    <w:p w:rsidR="0074072A" w:rsidRPr="00AA6D76" w:rsidRDefault="003A14EA" w:rsidP="0074072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rw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rw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wirr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wirr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AA6D76" w:rsidRDefault="003A14EA" w:rsidP="0074072A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rg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rg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wirr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Wirr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wirr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</m:oMath>
      </m:oMathPara>
    </w:p>
    <w:p w:rsidR="001E6B01" w:rsidRDefault="00054431" w:rsidP="001E6B01">
      <w:pPr>
        <w:pStyle w:val="ListParagraph"/>
        <w:numPr>
          <w:ilvl w:val="1"/>
          <w:numId w:val="1"/>
        </w:numPr>
      </w:pPr>
      <w:r>
        <w:t xml:space="preserve">Data needed: </w:t>
      </w:r>
    </w:p>
    <w:p w:rsidR="00054431" w:rsidRDefault="00054431" w:rsidP="00054431">
      <w:pPr>
        <w:pStyle w:val="ListParagraph"/>
        <w:numPr>
          <w:ilvl w:val="2"/>
          <w:numId w:val="1"/>
        </w:numPr>
      </w:pPr>
      <w:r>
        <w:t>Perm distr</w:t>
      </w:r>
    </w:p>
    <w:p w:rsidR="00054431" w:rsidRDefault="00054431" w:rsidP="00054431">
      <w:pPr>
        <w:pStyle w:val="ListParagraph"/>
        <w:numPr>
          <w:ilvl w:val="2"/>
          <w:numId w:val="1"/>
        </w:numPr>
      </w:pPr>
      <w:r>
        <w:t>Rel perm curves</w:t>
      </w:r>
    </w:p>
    <w:p w:rsidR="00054431" w:rsidRDefault="00054431" w:rsidP="00054431">
      <w:pPr>
        <w:pStyle w:val="ListParagraph"/>
        <w:numPr>
          <w:ilvl w:val="2"/>
          <w:numId w:val="1"/>
        </w:numPr>
      </w:pPr>
      <w:r>
        <w:t>Macroscopic velocity</w:t>
      </w:r>
    </w:p>
    <w:p w:rsidR="00EE3B8A" w:rsidRDefault="00EE3B8A" w:rsidP="00054431">
      <w:pPr>
        <w:pStyle w:val="ListParagraph"/>
        <w:numPr>
          <w:ilvl w:val="2"/>
          <w:numId w:val="1"/>
        </w:numPr>
      </w:pPr>
      <w:r>
        <w:t>Phase density</w:t>
      </w:r>
    </w:p>
    <w:p w:rsidR="00EE3B8A" w:rsidRDefault="00EE3B8A" w:rsidP="00054431">
      <w:pPr>
        <w:pStyle w:val="ListParagraph"/>
        <w:numPr>
          <w:ilvl w:val="2"/>
          <w:numId w:val="1"/>
        </w:numPr>
      </w:pPr>
      <w:r>
        <w:t>Phase viscosities</w:t>
      </w:r>
    </w:p>
    <w:p w:rsidR="003B45DA" w:rsidRDefault="003B45DA" w:rsidP="003B45DA">
      <w:pPr>
        <w:pStyle w:val="ListParagraph"/>
        <w:ind w:left="0"/>
      </w:pPr>
    </w:p>
    <w:p w:rsidR="003B45DA" w:rsidRPr="00A90363" w:rsidRDefault="003B45DA" w:rsidP="003B45DA">
      <w:pPr>
        <w:pStyle w:val="ListParagraph"/>
        <w:ind w:left="0"/>
        <w:rPr>
          <w:b/>
        </w:rPr>
      </w:pPr>
      <w:r w:rsidRPr="00A90363">
        <w:rPr>
          <w:b/>
        </w:rPr>
        <w:t>Describe in words what happens when CO</w:t>
      </w:r>
      <w:r w:rsidRPr="00A90363">
        <w:rPr>
          <w:b/>
          <w:vertAlign w:val="subscript"/>
        </w:rPr>
        <w:t>2</w:t>
      </w:r>
      <w:r w:rsidRPr="00A90363">
        <w:rPr>
          <w:b/>
        </w:rPr>
        <w:t xml:space="preserve"> is injected</w:t>
      </w:r>
      <w:r w:rsidR="00A90363">
        <w:rPr>
          <w:b/>
        </w:rPr>
        <w:t>:</w:t>
      </w:r>
    </w:p>
    <w:p w:rsidR="00312D6F" w:rsidRDefault="003B45DA" w:rsidP="003B45DA">
      <w:pPr>
        <w:pStyle w:val="ListParagraph"/>
        <w:ind w:left="0"/>
        <w:jc w:val="both"/>
      </w:pPr>
      <w:r>
        <w:t>The formation is initially saturated with brine, all of it being in the aqueous phase. As the CO</w:t>
      </w:r>
      <w:r>
        <w:rPr>
          <w:vertAlign w:val="subscript"/>
        </w:rPr>
        <w:t>2</w:t>
      </w:r>
      <w:r>
        <w:t xml:space="preserve"> is injected, it initially displaces the brine. The CO</w:t>
      </w:r>
      <w:r>
        <w:rPr>
          <w:vertAlign w:val="subscript"/>
        </w:rPr>
        <w:t>2</w:t>
      </w:r>
      <w:r>
        <w:t xml:space="preserve"> at this time is all in the supercritical/gas phase. As the carbon enters a grid-block, it displaces the in-place brine which moves out of that grid block into neighboring blocks. </w:t>
      </w:r>
    </w:p>
    <w:p w:rsidR="00312D6F" w:rsidRDefault="00165FBA" w:rsidP="00312D6F">
      <w:pPr>
        <w:pStyle w:val="ListParagraph"/>
        <w:numPr>
          <w:ilvl w:val="0"/>
          <w:numId w:val="2"/>
        </w:numPr>
        <w:jc w:val="both"/>
      </w:pPr>
      <w:r>
        <w:t>At any random grid block, suppose there is CO</w:t>
      </w:r>
      <w:r>
        <w:rPr>
          <w:vertAlign w:val="subscript"/>
        </w:rPr>
        <w:t>2</w:t>
      </w:r>
      <w:r>
        <w:t xml:space="preserve"> and brine, with a part of the CO</w:t>
      </w:r>
      <w:r>
        <w:rPr>
          <w:vertAlign w:val="subscript"/>
        </w:rPr>
        <w:t>2</w:t>
      </w:r>
      <w:r>
        <w:t xml:space="preserve"> in the aqueous phase.</w:t>
      </w:r>
    </w:p>
    <w:p w:rsidR="00312D6F" w:rsidRDefault="00165FBA" w:rsidP="00312D6F">
      <w:pPr>
        <w:pStyle w:val="ListParagraph"/>
        <w:numPr>
          <w:ilvl w:val="0"/>
          <w:numId w:val="2"/>
        </w:numPr>
        <w:jc w:val="both"/>
      </w:pPr>
      <w:r>
        <w:t>The neighboring grid blocks also have various proportions of CO</w:t>
      </w:r>
      <w:r>
        <w:rPr>
          <w:vertAlign w:val="subscript"/>
        </w:rPr>
        <w:t>2</w:t>
      </w:r>
      <w:r>
        <w:t xml:space="preserve"> and brine, with part of the CO</w:t>
      </w:r>
      <w:r>
        <w:rPr>
          <w:vertAlign w:val="subscript"/>
        </w:rPr>
        <w:t>2</w:t>
      </w:r>
      <w:r>
        <w:t xml:space="preserve"> dissolved. The amount of dissolved CO</w:t>
      </w:r>
      <w:r>
        <w:rPr>
          <w:vertAlign w:val="subscript"/>
        </w:rPr>
        <w:t>2</w:t>
      </w:r>
      <w:r>
        <w:t xml:space="preserve"> depends on the pressure.</w:t>
      </w:r>
    </w:p>
    <w:p w:rsidR="003B45DA" w:rsidRDefault="00312D6F" w:rsidP="00312D6F">
      <w:pPr>
        <w:pStyle w:val="ListParagraph"/>
        <w:numPr>
          <w:ilvl w:val="0"/>
          <w:numId w:val="2"/>
        </w:numPr>
        <w:jc w:val="both"/>
      </w:pPr>
      <w:r>
        <w:t>When CO</w:t>
      </w:r>
      <w:r>
        <w:rPr>
          <w:vertAlign w:val="subscript"/>
        </w:rPr>
        <w:t>2</w:t>
      </w:r>
      <w:r>
        <w:t xml:space="preserve"> moves into this grid block, what happens:</w:t>
      </w:r>
    </w:p>
    <w:p w:rsidR="00312D6F" w:rsidRDefault="00312D6F" w:rsidP="00312D6F">
      <w:pPr>
        <w:pStyle w:val="ListParagraph"/>
        <w:numPr>
          <w:ilvl w:val="1"/>
          <w:numId w:val="2"/>
        </w:numPr>
        <w:jc w:val="both"/>
      </w:pPr>
      <w:r>
        <w:t>It displaces a bit of both CO</w:t>
      </w:r>
      <w:r>
        <w:rPr>
          <w:vertAlign w:val="subscript"/>
        </w:rPr>
        <w:t>2</w:t>
      </w:r>
      <w:r>
        <w:t xml:space="preserve"> and brine: how much?</w:t>
      </w:r>
    </w:p>
    <w:p w:rsidR="00312D6F" w:rsidRDefault="00312D6F" w:rsidP="00312D6F">
      <w:pPr>
        <w:pStyle w:val="ListParagraph"/>
        <w:numPr>
          <w:ilvl w:val="2"/>
          <w:numId w:val="2"/>
        </w:numPr>
        <w:jc w:val="both"/>
      </w:pPr>
      <w:r>
        <w:t>Maybe, we can assume that the incoming CO</w:t>
      </w:r>
      <w:r>
        <w:softHyphen/>
      </w:r>
      <w:r>
        <w:rPr>
          <w:vertAlign w:val="subscript"/>
        </w:rPr>
        <w:t>2</w:t>
      </w:r>
      <w:r>
        <w:t xml:space="preserve"> only displaces brine</w:t>
      </w:r>
    </w:p>
    <w:p w:rsidR="00312D6F" w:rsidRDefault="00312D6F" w:rsidP="00312D6F">
      <w:pPr>
        <w:pStyle w:val="ListParagraph"/>
        <w:numPr>
          <w:ilvl w:val="2"/>
          <w:numId w:val="2"/>
        </w:numPr>
        <w:jc w:val="both"/>
      </w:pPr>
      <w:r>
        <w:t>There has to be maximum saturation of the CO</w:t>
      </w:r>
      <w:r>
        <w:softHyphen/>
      </w:r>
      <w:r>
        <w:rPr>
          <w:vertAlign w:val="subscript"/>
        </w:rPr>
        <w:t>2</w:t>
      </w:r>
      <w:r>
        <w:t xml:space="preserve">, depending on the </w:t>
      </w:r>
      <w:r w:rsidR="0074419B">
        <w:t>irreducible water saturation</w:t>
      </w:r>
    </w:p>
    <w:p w:rsidR="0074419B" w:rsidRDefault="0074419B" w:rsidP="00312D6F">
      <w:pPr>
        <w:pStyle w:val="ListParagraph"/>
        <w:numPr>
          <w:ilvl w:val="2"/>
          <w:numId w:val="2"/>
        </w:numPr>
        <w:jc w:val="both"/>
      </w:pPr>
      <w:r>
        <w:t>If the amount of CO</w:t>
      </w:r>
      <w:r>
        <w:rPr>
          <w:vertAlign w:val="subscript"/>
        </w:rPr>
        <w:t>2</w:t>
      </w:r>
      <w:r>
        <w:t xml:space="preserve"> entering looks like it would displace extra (reduce water saturation below irreducible) water, then CO</w:t>
      </w:r>
      <w:r>
        <w:rPr>
          <w:vertAlign w:val="subscript"/>
        </w:rPr>
        <w:t>2</w:t>
      </w:r>
      <w:r>
        <w:t xml:space="preserve"> is also displaced.</w:t>
      </w:r>
    </w:p>
    <w:p w:rsidR="0074419B" w:rsidRDefault="0074419B" w:rsidP="00312D6F">
      <w:pPr>
        <w:pStyle w:val="ListParagraph"/>
        <w:numPr>
          <w:ilvl w:val="2"/>
          <w:numId w:val="2"/>
        </w:numPr>
        <w:jc w:val="both"/>
      </w:pPr>
      <w:r>
        <w:t>The CO</w:t>
      </w:r>
      <w:r>
        <w:rPr>
          <w:vertAlign w:val="subscript"/>
        </w:rPr>
        <w:t>2</w:t>
      </w:r>
      <w:r>
        <w:t xml:space="preserve"> itself can only move if its saturation is above the saturation of the two-phase/brine front.</w:t>
      </w:r>
    </w:p>
    <w:p w:rsidR="00312D6F" w:rsidRDefault="00312D6F" w:rsidP="00312D6F">
      <w:pPr>
        <w:pStyle w:val="ListParagraph"/>
        <w:numPr>
          <w:ilvl w:val="1"/>
          <w:numId w:val="2"/>
        </w:numPr>
        <w:jc w:val="both"/>
      </w:pPr>
      <w:r>
        <w:t>Part of it dissolves in the brine, depending on the pressure</w:t>
      </w:r>
    </w:p>
    <w:p w:rsidR="007421B5" w:rsidRDefault="007421B5" w:rsidP="007421B5">
      <w:pPr>
        <w:pStyle w:val="ListParagraph"/>
        <w:numPr>
          <w:ilvl w:val="0"/>
          <w:numId w:val="2"/>
        </w:numPr>
        <w:jc w:val="both"/>
      </w:pPr>
      <w:r>
        <w:lastRenderedPageBreak/>
        <w:t>When brine moves into a grid block:</w:t>
      </w:r>
    </w:p>
    <w:p w:rsidR="007421B5" w:rsidRDefault="007421B5" w:rsidP="007421B5">
      <w:pPr>
        <w:pStyle w:val="ListParagraph"/>
        <w:numPr>
          <w:ilvl w:val="1"/>
          <w:numId w:val="2"/>
        </w:numPr>
        <w:jc w:val="both"/>
      </w:pPr>
      <w:r>
        <w:t>It should follow the same rules as the CO</w:t>
      </w:r>
      <w:r>
        <w:rPr>
          <w:vertAlign w:val="subscript"/>
        </w:rPr>
        <w:t>2</w:t>
      </w:r>
    </w:p>
    <w:p w:rsidR="007421B5" w:rsidRDefault="007421B5" w:rsidP="007421B5">
      <w:pPr>
        <w:pStyle w:val="ListParagraph"/>
        <w:numPr>
          <w:ilvl w:val="0"/>
          <w:numId w:val="2"/>
        </w:numPr>
        <w:jc w:val="both"/>
      </w:pPr>
      <w:r>
        <w:t>When both brine and CO</w:t>
      </w:r>
      <w:r>
        <w:rPr>
          <w:vertAlign w:val="subscript"/>
        </w:rPr>
        <w:t>2</w:t>
      </w:r>
      <w:r>
        <w:t xml:space="preserve"> move into the same grid block:</w:t>
      </w:r>
    </w:p>
    <w:p w:rsidR="007421B5" w:rsidRDefault="007421B5" w:rsidP="00147121">
      <w:pPr>
        <w:jc w:val="both"/>
      </w:pPr>
    </w:p>
    <w:p w:rsidR="00147121" w:rsidRDefault="00147121" w:rsidP="00147121">
      <w:pPr>
        <w:jc w:val="both"/>
      </w:pPr>
      <w:r>
        <w:t>Version 1: Single-phase flow with BL:</w:t>
      </w:r>
    </w:p>
    <w:p w:rsidR="00147121" w:rsidRDefault="00147121" w:rsidP="00147121">
      <w:pPr>
        <w:jc w:val="both"/>
      </w:pPr>
      <w:r>
        <w:t>Equations: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86"/>
        <w:gridCol w:w="1590"/>
      </w:tblGrid>
      <w:tr w:rsidR="00147121" w:rsidTr="0060427C">
        <w:tc>
          <w:tcPr>
            <w:tcW w:w="7986" w:type="dxa"/>
          </w:tcPr>
          <w:p w:rsidR="00147121" w:rsidRPr="00147121" w:rsidRDefault="003A14EA" w:rsidP="00C433A9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rw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macro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)gsinα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rw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rg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  <w:tc>
          <w:tcPr>
            <w:tcW w:w="1590" w:type="dxa"/>
            <w:vAlign w:val="center"/>
          </w:tcPr>
          <w:p w:rsidR="00147121" w:rsidRDefault="00147121" w:rsidP="00147121">
            <w:pPr>
              <w:jc w:val="right"/>
            </w:pPr>
            <w:r>
              <w:t>… (1)</w:t>
            </w:r>
          </w:p>
        </w:tc>
      </w:tr>
      <w:tr w:rsidR="00147121" w:rsidTr="0060427C">
        <w:tc>
          <w:tcPr>
            <w:tcW w:w="7986" w:type="dxa"/>
          </w:tcPr>
          <w:p w:rsidR="003A14EA" w:rsidRDefault="003A14EA" w:rsidP="003A14E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rw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rw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wr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wr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gr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sup>
                </m:sSup>
              </m:oMath>
            </m:oMathPara>
          </w:p>
          <w:p w:rsidR="00147121" w:rsidRDefault="00147121" w:rsidP="00147121">
            <w:pPr>
              <w:pStyle w:val="ListParagraph"/>
              <w:ind w:left="0"/>
              <w:jc w:val="right"/>
              <w:rPr>
                <w:rFonts w:eastAsiaTheme="minorEastAsia"/>
              </w:rPr>
            </w:pPr>
          </w:p>
        </w:tc>
        <w:tc>
          <w:tcPr>
            <w:tcW w:w="1590" w:type="dxa"/>
            <w:vAlign w:val="center"/>
          </w:tcPr>
          <w:p w:rsidR="00147121" w:rsidRDefault="00147121" w:rsidP="00147121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… (2a)</w:t>
            </w:r>
          </w:p>
        </w:tc>
      </w:tr>
      <w:tr w:rsidR="00147121" w:rsidTr="0060427C">
        <w:tc>
          <w:tcPr>
            <w:tcW w:w="7986" w:type="dxa"/>
          </w:tcPr>
          <w:p w:rsidR="00147121" w:rsidRPr="00147121" w:rsidRDefault="003A14EA" w:rsidP="00147121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gr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gr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wr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1590" w:type="dxa"/>
            <w:vAlign w:val="center"/>
          </w:tcPr>
          <w:p w:rsidR="00147121" w:rsidRDefault="00147121" w:rsidP="00147121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… (2b)</w:t>
            </w:r>
          </w:p>
        </w:tc>
      </w:tr>
    </w:tbl>
    <w:p w:rsidR="00147121" w:rsidRPr="00AA6D76" w:rsidRDefault="00147121" w:rsidP="00147121">
      <w:pPr>
        <w:pStyle w:val="ListParagraph"/>
        <w:rPr>
          <w:rFonts w:eastAsiaTheme="minorEastAsia"/>
        </w:rPr>
      </w:pPr>
    </w:p>
    <w:p w:rsidR="0060427C" w:rsidRDefault="0060427C" w:rsidP="00147121">
      <w:pPr>
        <w:pStyle w:val="ListParagraph"/>
        <w:numPr>
          <w:ilvl w:val="0"/>
          <w:numId w:val="3"/>
        </w:numPr>
        <w:jc w:val="both"/>
      </w:pPr>
      <w:r>
        <w:t>Injection</w:t>
      </w:r>
    </w:p>
    <w:p w:rsidR="0060427C" w:rsidRDefault="0060427C" w:rsidP="0060427C">
      <w:pPr>
        <w:pStyle w:val="ListParagraph"/>
        <w:numPr>
          <w:ilvl w:val="1"/>
          <w:numId w:val="3"/>
        </w:numPr>
        <w:jc w:val="both"/>
      </w:pPr>
      <w:r>
        <w:t>Calculate total PV</w:t>
      </w:r>
    </w:p>
    <w:p w:rsidR="0060427C" w:rsidRDefault="0060427C" w:rsidP="0060427C">
      <w:pPr>
        <w:pStyle w:val="ListParagraph"/>
        <w:numPr>
          <w:ilvl w:val="1"/>
          <w:numId w:val="3"/>
        </w:numPr>
        <w:jc w:val="both"/>
      </w:pPr>
      <w:r>
        <w:t>Calculate injection rates in terms of PV</w:t>
      </w:r>
      <w:r w:rsidR="00BD3C5D">
        <w:t xml:space="preserve"> per day.</w:t>
      </w:r>
    </w:p>
    <w:p w:rsidR="0060427C" w:rsidRDefault="0060427C" w:rsidP="0060427C">
      <w:pPr>
        <w:pStyle w:val="ListParagraph"/>
        <w:numPr>
          <w:ilvl w:val="1"/>
          <w:numId w:val="3"/>
        </w:numPr>
        <w:jc w:val="both"/>
      </w:pPr>
      <w:r>
        <w:t>Calculate number of CO</w:t>
      </w:r>
      <w:r>
        <w:rPr>
          <w:vertAlign w:val="subscript"/>
        </w:rPr>
        <w:t>2</w:t>
      </w:r>
      <w:r>
        <w:t xml:space="preserve"> particles injected </w:t>
      </w:r>
      <w:r w:rsidR="001E588F">
        <w:t xml:space="preserve">per day </w:t>
      </w:r>
      <w:r>
        <w:t>as:</w:t>
      </w:r>
    </w:p>
    <w:p w:rsidR="0060427C" w:rsidRDefault="0060427C" w:rsidP="0060427C">
      <w:pPr>
        <w:ind w:left="360"/>
        <w:jc w:val="both"/>
      </w:pPr>
      <m:oMathPara>
        <m:oMath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per grid block</m:t>
              </m:r>
            </m:sub>
          </m:sSub>
          <m:r>
            <w:rPr>
              <w:rFonts w:ascii="Cambria Math" w:hAnsi="Cambria Math"/>
            </w:rPr>
            <m:t>×Total grid blocks</m:t>
          </m:r>
          <m:r>
            <w:rPr>
              <w:rFonts w:ascii="Cambria Math" w:eastAsiaTheme="minorEastAsia" w:hAnsi="Cambria Math"/>
            </w:rPr>
            <m:t>×PV injected per day</m:t>
          </m:r>
        </m:oMath>
      </m:oMathPara>
    </w:p>
    <w:p w:rsidR="00147121" w:rsidRDefault="00147121" w:rsidP="00BD3C5D">
      <w:pPr>
        <w:pStyle w:val="ListParagraph"/>
        <w:numPr>
          <w:ilvl w:val="1"/>
          <w:numId w:val="3"/>
        </w:numPr>
        <w:jc w:val="both"/>
      </w:pPr>
      <w:r>
        <w:t>Inject CO</w:t>
      </w:r>
      <w:r>
        <w:rPr>
          <w:vertAlign w:val="subscript"/>
        </w:rPr>
        <w:t>2</w:t>
      </w:r>
      <w:r>
        <w:t xml:space="preserve"> at injector location</w:t>
      </w:r>
    </w:p>
    <w:p w:rsidR="00BD3C5D" w:rsidRDefault="00BD3C5D" w:rsidP="00BD3C5D">
      <w:pPr>
        <w:pStyle w:val="ListParagraph"/>
        <w:numPr>
          <w:ilvl w:val="0"/>
          <w:numId w:val="3"/>
        </w:numPr>
        <w:jc w:val="both"/>
      </w:pPr>
      <w:r>
        <w:t xml:space="preserve">Calculate </w:t>
      </w:r>
      <w:r w:rsidRPr="00BD3C5D">
        <w:rPr>
          <w:i/>
        </w:rPr>
        <w:t>v</w:t>
      </w:r>
      <w:r w:rsidRPr="00BD3C5D">
        <w:rPr>
          <w:i/>
          <w:vertAlign w:val="subscript"/>
        </w:rPr>
        <w:t>macro</w:t>
      </w:r>
      <w:r>
        <w:rPr>
          <w:i/>
          <w:vertAlign w:val="subscript"/>
        </w:rPr>
        <w:t xml:space="preserve"> </w:t>
      </w:r>
      <w:r w:rsidR="00716D11">
        <w:t xml:space="preserve">in each direction </w:t>
      </w:r>
      <w:r>
        <w:t>as :</w:t>
      </w:r>
    </w:p>
    <w:p w:rsidR="00BD3C5D" w:rsidRDefault="003A14EA" w:rsidP="00BD3C5D">
      <w:pPr>
        <w:ind w:left="1440" w:firstLine="72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macro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PV per day×PV in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area of grid block in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147121" w:rsidRDefault="00147121" w:rsidP="00147121">
      <w:pPr>
        <w:pStyle w:val="ListParagraph"/>
        <w:numPr>
          <w:ilvl w:val="0"/>
          <w:numId w:val="3"/>
        </w:numPr>
        <w:jc w:val="both"/>
      </w:pPr>
      <w:r>
        <w:t>Calculate transition probability</w:t>
      </w:r>
      <w:r w:rsidR="0060427C">
        <w:t xml:space="preserve"> for each neighbor</w:t>
      </w:r>
      <w:r>
        <w:t>:</w:t>
      </w:r>
    </w:p>
    <w:p w:rsidR="00147121" w:rsidRDefault="00147121" w:rsidP="00147121">
      <w:pPr>
        <w:pStyle w:val="ListParagraph"/>
        <w:numPr>
          <w:ilvl w:val="1"/>
          <w:numId w:val="3"/>
        </w:numPr>
        <w:jc w:val="both"/>
      </w:pPr>
      <w:r>
        <w:t>Calculate the relative perm of CO</w:t>
      </w:r>
      <w:r>
        <w:rPr>
          <w:vertAlign w:val="subscript"/>
        </w:rPr>
        <w:t>2</w:t>
      </w:r>
      <w:r>
        <w:t xml:space="preserve"> and brine</w:t>
      </w:r>
      <w:r w:rsidR="0060427C">
        <w:t xml:space="preserve"> using eqn 2a and 2b. Use saturation for the target cells</w:t>
      </w:r>
      <w:r w:rsidR="00091EC4">
        <w:t xml:space="preserve"> – </w:t>
      </w:r>
      <w:r w:rsidR="00091EC4" w:rsidRPr="00F66FA5">
        <w:rPr>
          <w:b/>
          <w:u w:val="single"/>
        </w:rPr>
        <w:t>function to do this</w:t>
      </w:r>
    </w:p>
    <w:p w:rsidR="00091EC4" w:rsidRPr="00091EC4" w:rsidRDefault="00147121" w:rsidP="001E588F">
      <w:pPr>
        <w:pStyle w:val="ListParagraph"/>
        <w:numPr>
          <w:ilvl w:val="1"/>
          <w:numId w:val="3"/>
        </w:numPr>
        <w:jc w:val="both"/>
        <w:rPr>
          <w:b/>
        </w:rPr>
      </w:pPr>
      <w:r w:rsidRPr="00881FE4">
        <w:t xml:space="preserve">Calculate </w:t>
      </w:r>
      <w:r w:rsidR="004C76E8" w:rsidRPr="00881FE4">
        <w:t xml:space="preserve">front velocity from </w:t>
      </w:r>
      <w:r w:rsidRPr="00881FE4">
        <w:rPr>
          <w:i/>
        </w:rPr>
        <w:t>f</w:t>
      </w:r>
      <w:r w:rsidRPr="00881FE4">
        <w:rPr>
          <w:i/>
          <w:vertAlign w:val="subscript"/>
        </w:rPr>
        <w:t>W</w:t>
      </w:r>
      <w:r w:rsidRPr="00881FE4">
        <w:rPr>
          <w:i/>
        </w:rPr>
        <w:t xml:space="preserve"> </w:t>
      </w:r>
      <w:r w:rsidR="001E588F" w:rsidRPr="00881FE4">
        <w:t>using saturation from target cells</w:t>
      </w:r>
    </w:p>
    <w:p w:rsidR="00091EC4" w:rsidRPr="00F66FA5" w:rsidRDefault="00091EC4" w:rsidP="00091EC4">
      <w:pPr>
        <w:pStyle w:val="ListParagraph"/>
        <w:numPr>
          <w:ilvl w:val="2"/>
          <w:numId w:val="3"/>
        </w:numPr>
        <w:jc w:val="both"/>
        <w:rPr>
          <w:b/>
          <w:u w:val="single"/>
        </w:rPr>
      </w:pPr>
      <w:r w:rsidRPr="00F66FA5">
        <w:t>Find front saturation</w:t>
      </w:r>
      <w:r w:rsidR="00F66FA5">
        <w:rPr>
          <w:b/>
        </w:rPr>
        <w:t xml:space="preserve"> – </w:t>
      </w:r>
      <w:r w:rsidR="00F66FA5" w:rsidRPr="00F66FA5">
        <w:rPr>
          <w:b/>
          <w:u w:val="single"/>
        </w:rPr>
        <w:t>function to do this</w:t>
      </w:r>
    </w:p>
    <w:p w:rsidR="004C76E8" w:rsidRPr="00F66FA5" w:rsidRDefault="00091EC4" w:rsidP="00091EC4">
      <w:pPr>
        <w:pStyle w:val="ListParagraph"/>
        <w:numPr>
          <w:ilvl w:val="2"/>
          <w:numId w:val="3"/>
        </w:numPr>
        <w:jc w:val="both"/>
        <w:rPr>
          <w:b/>
          <w:u w:val="single"/>
        </w:rPr>
      </w:pPr>
      <w:r w:rsidRPr="00F66FA5">
        <w:t>Using target cell sat</w:t>
      </w:r>
      <w:r w:rsidRPr="0096375F">
        <w:rPr>
          <w:u w:val="single"/>
          <w:vertAlign w:val="superscript"/>
        </w:rPr>
        <w:t>n</w:t>
      </w:r>
      <w:r w:rsidRPr="00F66FA5">
        <w:t>, find f</w:t>
      </w:r>
      <w:r w:rsidRPr="00F66FA5">
        <w:rPr>
          <w:vertAlign w:val="subscript"/>
        </w:rPr>
        <w:t>W</w:t>
      </w:r>
      <w:r w:rsidRPr="00F66FA5">
        <w:t xml:space="preserve"> for 0.01 either side, and calculate df</w:t>
      </w:r>
      <w:r w:rsidRPr="00F66FA5">
        <w:rPr>
          <w:vertAlign w:val="subscript"/>
        </w:rPr>
        <w:t>W</w:t>
      </w:r>
      <w:r w:rsidRPr="00F66FA5">
        <w:t>/dS</w:t>
      </w:r>
      <w:r w:rsidRPr="00F66FA5">
        <w:rPr>
          <w:vertAlign w:val="subscript"/>
        </w:rPr>
        <w:t>W</w:t>
      </w:r>
      <w:r w:rsidRPr="00F66FA5">
        <w:t>.</w:t>
      </w:r>
      <w:r w:rsidR="00F66FA5" w:rsidRPr="00F66FA5">
        <w:t xml:space="preserve"> – </w:t>
      </w:r>
      <w:r w:rsidR="00F66FA5" w:rsidRPr="00F66FA5">
        <w:rPr>
          <w:b/>
          <w:u w:val="single"/>
        </w:rPr>
        <w:t>function for this</w:t>
      </w:r>
    </w:p>
    <w:p w:rsidR="001E588F" w:rsidRDefault="001E588F" w:rsidP="001E588F">
      <w:pPr>
        <w:pStyle w:val="ListParagraph"/>
        <w:numPr>
          <w:ilvl w:val="1"/>
          <w:numId w:val="3"/>
        </w:numPr>
        <w:jc w:val="both"/>
      </w:pPr>
      <w:r>
        <w:t>Move CO</w:t>
      </w:r>
      <w:r>
        <w:rPr>
          <w:vertAlign w:val="subscript"/>
        </w:rPr>
        <w:t>2</w:t>
      </w:r>
      <w:r>
        <w:t xml:space="preserve"> by transition probability:</w:t>
      </w:r>
    </w:p>
    <w:p w:rsidR="001E588F" w:rsidRDefault="001E588F" w:rsidP="001E588F">
      <w:pPr>
        <w:pStyle w:val="ListParagraph"/>
        <w:numPr>
          <w:ilvl w:val="2"/>
          <w:numId w:val="3"/>
        </w:numPr>
        <w:jc w:val="both"/>
      </w:pPr>
      <w:r>
        <w:t>Calculate transition probability:</w:t>
      </w:r>
    </w:p>
    <w:p w:rsidR="00147121" w:rsidRPr="00091EC4" w:rsidRDefault="00091EC4" w:rsidP="00147121">
      <w:pPr>
        <w:pStyle w:val="ListParagraph"/>
        <w:ind w:left="144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BL</m:t>
                  </m:r>
                </m:sub>
              </m:sSub>
            </m:e>
          </m:d>
        </m:oMath>
      </m:oMathPara>
    </w:p>
    <w:p w:rsidR="00091EC4" w:rsidRPr="00091EC4" w:rsidRDefault="00091EC4" w:rsidP="00091EC4">
      <w:pPr>
        <w:pStyle w:val="ListParagraph"/>
        <w:numPr>
          <w:ilvl w:val="2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If saturation is less than front saturation, don’t </w:t>
      </w:r>
      <w:r w:rsidR="00F6610B">
        <w:rPr>
          <w:rFonts w:eastAsiaTheme="minorEastAsia"/>
        </w:rPr>
        <w:t>move!</w:t>
      </w:r>
    </w:p>
    <w:p w:rsidR="001E588F" w:rsidRPr="005E196A" w:rsidRDefault="001E588F" w:rsidP="001E588F">
      <w:pPr>
        <w:pStyle w:val="ListParagraph"/>
        <w:numPr>
          <w:ilvl w:val="2"/>
          <w:numId w:val="3"/>
        </w:numPr>
        <w:jc w:val="both"/>
      </w:pPr>
      <w:r>
        <w:t>Normalize</w:t>
      </w:r>
      <w:r w:rsidR="005E196A">
        <w:t xml:space="preserve"> Tr,</w:t>
      </w:r>
      <w:r>
        <w:t xml:space="preserve"> Tr</w:t>
      </w:r>
      <w:r>
        <w:rPr>
          <w:vertAlign w:val="subscript"/>
        </w:rPr>
        <w:t>N</w:t>
      </w:r>
    </w:p>
    <w:p w:rsidR="005E196A" w:rsidRDefault="005E196A" w:rsidP="001E588F">
      <w:pPr>
        <w:pStyle w:val="ListParagraph"/>
        <w:numPr>
          <w:ilvl w:val="2"/>
          <w:numId w:val="3"/>
        </w:numPr>
        <w:jc w:val="both"/>
      </w:pPr>
      <w:r>
        <w:t>Sample from Tr</w:t>
      </w:r>
      <w:r>
        <w:rPr>
          <w:vertAlign w:val="subscript"/>
        </w:rPr>
        <w:t>N</w:t>
      </w:r>
      <w:r>
        <w:t xml:space="preserve"> and move</w:t>
      </w:r>
    </w:p>
    <w:p w:rsidR="00FD3A72" w:rsidRDefault="003A14EA" w:rsidP="00FD3A72">
      <w:pPr>
        <w:pStyle w:val="ListParagraph"/>
        <w:numPr>
          <w:ilvl w:val="0"/>
          <w:numId w:val="3"/>
        </w:numPr>
        <w:jc w:val="both"/>
      </w:pPr>
      <w:r>
        <w:t>Proxy responses to be recorded:</w:t>
      </w:r>
    </w:p>
    <w:p w:rsidR="003A14EA" w:rsidRDefault="003A14EA" w:rsidP="003A14EA">
      <w:pPr>
        <w:pStyle w:val="ListParagraph"/>
        <w:numPr>
          <w:ilvl w:val="1"/>
          <w:numId w:val="3"/>
        </w:numPr>
        <w:jc w:val="both"/>
      </w:pPr>
      <w:bookmarkStart w:id="0" w:name="_GoBack"/>
      <w:bookmarkEnd w:id="0"/>
    </w:p>
    <w:sectPr w:rsidR="003A14EA" w:rsidSect="00460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C1C03"/>
    <w:multiLevelType w:val="hybridMultilevel"/>
    <w:tmpl w:val="C62631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6F86130"/>
    <w:multiLevelType w:val="hybridMultilevel"/>
    <w:tmpl w:val="55BED76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52CE6723"/>
    <w:multiLevelType w:val="hybridMultilevel"/>
    <w:tmpl w:val="FA0E9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7662CE"/>
    <w:multiLevelType w:val="hybridMultilevel"/>
    <w:tmpl w:val="BE2C3CBE"/>
    <w:lvl w:ilvl="0" w:tplc="28222B3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737FC2"/>
    <w:multiLevelType w:val="hybridMultilevel"/>
    <w:tmpl w:val="660C6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029BB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632E2E"/>
    <w:rsid w:val="00054431"/>
    <w:rsid w:val="00091EC4"/>
    <w:rsid w:val="00124286"/>
    <w:rsid w:val="00147121"/>
    <w:rsid w:val="00165FBA"/>
    <w:rsid w:val="001B09FA"/>
    <w:rsid w:val="001D6AA5"/>
    <w:rsid w:val="001E588F"/>
    <w:rsid w:val="001E6B01"/>
    <w:rsid w:val="002F1B98"/>
    <w:rsid w:val="00312D6F"/>
    <w:rsid w:val="00396DC5"/>
    <w:rsid w:val="003A14EA"/>
    <w:rsid w:val="003B45DA"/>
    <w:rsid w:val="004234DB"/>
    <w:rsid w:val="00460BE1"/>
    <w:rsid w:val="004C76E8"/>
    <w:rsid w:val="005E196A"/>
    <w:rsid w:val="005E3FA2"/>
    <w:rsid w:val="0060427C"/>
    <w:rsid w:val="00632E2E"/>
    <w:rsid w:val="00664463"/>
    <w:rsid w:val="00704EDB"/>
    <w:rsid w:val="00716D11"/>
    <w:rsid w:val="0074072A"/>
    <w:rsid w:val="007421B5"/>
    <w:rsid w:val="0074419B"/>
    <w:rsid w:val="00787E50"/>
    <w:rsid w:val="00810330"/>
    <w:rsid w:val="008402FD"/>
    <w:rsid w:val="00856D02"/>
    <w:rsid w:val="00876289"/>
    <w:rsid w:val="00881FE4"/>
    <w:rsid w:val="008B6AAF"/>
    <w:rsid w:val="00950B1E"/>
    <w:rsid w:val="0096375F"/>
    <w:rsid w:val="00A55705"/>
    <w:rsid w:val="00A55AD7"/>
    <w:rsid w:val="00A56310"/>
    <w:rsid w:val="00A90363"/>
    <w:rsid w:val="00AA6D76"/>
    <w:rsid w:val="00AB057D"/>
    <w:rsid w:val="00B435C8"/>
    <w:rsid w:val="00BD3C5D"/>
    <w:rsid w:val="00C261DE"/>
    <w:rsid w:val="00C433A9"/>
    <w:rsid w:val="00D7192C"/>
    <w:rsid w:val="00DB5CAA"/>
    <w:rsid w:val="00EE3B8A"/>
    <w:rsid w:val="00F6610B"/>
    <w:rsid w:val="00F66FA5"/>
    <w:rsid w:val="00FD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6B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B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B01"/>
    <w:pPr>
      <w:ind w:left="720"/>
      <w:contextualSpacing/>
    </w:pPr>
  </w:style>
  <w:style w:type="table" w:styleId="TableGrid">
    <w:name w:val="Table Grid"/>
    <w:basedOn w:val="TableNormal"/>
    <w:uiPriority w:val="59"/>
    <w:rsid w:val="001471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6B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B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2078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Bhowmik, Sayantan</dc:creator>
  <cp:keywords/>
  <dc:description/>
  <cp:lastModifiedBy>Bhowmik, Sayantan</cp:lastModifiedBy>
  <cp:revision>16</cp:revision>
  <cp:lastPrinted>2013-02-05T19:58:00Z</cp:lastPrinted>
  <dcterms:created xsi:type="dcterms:W3CDTF">2013-01-30T19:06:00Z</dcterms:created>
  <dcterms:modified xsi:type="dcterms:W3CDTF">2013-02-06T19:16:00Z</dcterms:modified>
</cp:coreProperties>
</file>