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Supplementary Materials</w:t>
      </w:r>
    </w:p>
    <w:p>
      <w:pPr>
        <w:spacing w:after="150" w:before="300"/>
      </w:pPr>
      <w:r>
        <w:rPr>
          <w:b/>
          <w:bCs/>
          <w:sz w:val="22"/>
          <w:szCs w:val="22"/>
        </w:rPr>
        <w:t xml:space="preserve">Table S1. Per-station quality-control attrition for the 146 raw historical stations.</w:t>
      </w:r>
    </w:p>
    <w:p>
      <w:pPr>
        <w:spacing w:after="300" w:before="150"/>
      </w:pPr>
      <w:r>
        <w:rPr>
          <w:i/>
          <w:iCs/>
          <w:sz w:val="18"/>
          <w:szCs w:val="18"/>
        </w:rPr>
        <w:t xml:space="preserve">Columns show raw hourly record count, records removed at each QC stage, final retained count, and whether the station is among the 39 retained for analysis (final_retained ≥ 1,000).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400"/>
        <w:gridCol w:w="1600"/>
        <w:gridCol w:w="1600"/>
        <w:gridCol w:w="1400"/>
        <w:gridCol w:w="1200"/>
      </w:tblGrid>
      <w:tr>
        <w:trPr>
          <w:tblHeader/>
        </w:trPr>
        <w:tc>
          <w:tcPr>
            <w:tcW w:type="dxa" w:w="1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Raw records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Removed (implausible)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Removed (MAD outlier)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Final retained</w:t>
            </w:r>
          </w:p>
        </w:tc>
        <w:tc>
          <w:tcPr>
            <w:tcW w:type="dxa" w:w="12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In 39-set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8876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49076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1992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46997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2819078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Shkola-Gimnaziya 152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12765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12765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2812718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Gymnasium 39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383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106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12463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2812833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DIS-7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188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12400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2812769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Nicolas International chain of wineries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241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12304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2812561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CHP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12928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276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357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12295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2812726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Hospital-7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589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12282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2812620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Alatau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522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154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12276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2812651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Kokkainar Micro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605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12270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2812809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AsiaFood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149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12268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2812576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EkoPost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157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544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12252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2812775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192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487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226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12239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2812717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Mamyr-3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310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435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12207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2812632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Elaman 105 St.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13970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1276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537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12157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2812565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Kokzhiyek-63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14035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1360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603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12072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2812826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Zhetysu 47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143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766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12043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2812749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Ryskulova 81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942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11953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2812687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KBTU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203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823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11926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2812635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Atyrau 54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134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908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11910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2812690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187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639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412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11901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2819013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Nurly street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12650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763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11879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2812792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Kotelnikova St.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14032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1353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849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11830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2812784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Respublika 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402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724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11826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2812689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Iliyski trakt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977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11801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2812751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77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863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456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11633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2812563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137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11846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119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875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10852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2812716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Ritz Palace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1172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1122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10658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3243331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Qapparov köşesı (akbota.info)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10203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10160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2812831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"Road, Almaty Industrial Zone"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2902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9958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2812753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190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2458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710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9784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2812649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Shamiyeva St.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14060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3800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714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9546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2812691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169 School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12952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3222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1227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8503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2812821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160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8016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509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7428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2812756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175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9164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1856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7269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3124030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Ippodrom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7021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88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6894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2812550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 Arena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5395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5314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3126921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School 186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7869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3817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4052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2812788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Magnum-273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2554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2537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2812555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Magnum Besagash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1729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274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1418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6158096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№182 mektep-gimnaziya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704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701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6161924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 Arena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639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639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5473573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Roxanne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556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510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6174364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 City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6174362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Abai – Seifullin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6174363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GATOB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391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390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№179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"Panfilovo, №33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№170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AKPTiT kolledj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Altai 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№11 orta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6175371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№128 Balabaqşasy (Şekspir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№44 mektep-gimnaziya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№16 äskeri qalaşıq (Süyinbai d.)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№168 Balabaqşa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6175366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№31 orta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6175400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№154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№153 mektep-gimnaziya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№174 mektep-gimnaziya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Jetisu 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6175385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Ainabulaq (Jumabayev k-si)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6175386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Jas Qanat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6175389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Sairan (Ötegen batyr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6175388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Qazybek bi – Nurmaqov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 2 t/zh vokzaly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Qalalyq kardiologiya ortalyğı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№157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6175401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"Aqbulak, 7"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№151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Bökeikhanov – Aerodromnyi t. k-si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Sairan (Qarasai Batyr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6175395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№166 litsei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6175387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Jambyl – Nurmaqov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6175359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"Talǵar, Gagarin atyndaǵy №8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365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6175532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Zhambyl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6175488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"Kókqaınar auyly, №29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6175486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Mega Park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6175370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"Talǵar, ortalyq aýdandyq aýrýhana 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"QazTSIK, №40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Respublika saraiy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Asqarov k-si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"Qyzylqaırat , №19 mektep gimnaziya"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Ortalyq demalys sayabağy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6175531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Almalybaq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Qoşmambet orta mektebi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Raiymbek - Jangeldin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Mamyr 1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№86 mektep-gimnaziya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"Tuıimebaev auyly, №19 mektep 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"Irgeli, orta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6175530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Zharokov - Mynbayev st.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"Bereke auyly, Beisebaev atyndaǵy orta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№206 mektep-gimnaziya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Rahat Konditerlik fabrikasy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"Ötegen Batyr, №24 litsei"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№200 mektep-gimnaziya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№116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Perzenthana (Basenov 2a)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№12 Qalalyq emhana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Qarağaily (Nadirov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Duman (Arys k-si)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Baitursynov k-si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Alatau kenti (Jetbaev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SDU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Jañaturmys (Altynsarin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Saiyalı (Avtotsón)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6175722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№184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6175723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№107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№162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"Qaskelen, Belinskiı atyndaǵy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6175721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№171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"Isaevo auyly, Isaeva atyndaǵy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6175708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№170 Böbekjai balabaqşasy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Qazaqfilm (Baiydosov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6175720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№112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№98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"Tuzdybastau, №13 mektep 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"Gūldala, №21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Nurtau golf club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"Shamalǵan, Tleubaev atyndaǵy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"Baıkent, №10 orta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6175489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Kerei Janibek k-si – Gornyi t.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6175709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"Belbulak, №32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Samal 1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"Kyrgauyldy auyly, Orta mektep"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Narxoz University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 oblystyq №1 balalar uyi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6175837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Duman 2 (Mercur Grad)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359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6175707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Orbita 1 (Navoi k-si)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6175485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Köktem şipazhaiy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6175521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 şipazhaiy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Ońtústik saıabaǵy | MOST hub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Tastybulaq (Kazgiprozem)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№7 Su Elektr Stansiäsy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6175512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Ermensai (Araily k-si)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6175491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№163 litsei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Prezident sayabağı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351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6175507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№47 mektep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346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6175714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Tereńqur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343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6175487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Ermensai (Juldyz – Ortalyq)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338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6175510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№190 mektep 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334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6175533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Medeu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364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296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6142363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163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6186958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"Almaty, Dostyk 300/60"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123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6152135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Almaty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2812676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Suiynbay-55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13990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13990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</w:tcPr>
          <w:p>
            <w:r>
              <w:rPr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150" w:before="300"/>
      </w:pPr>
      <w:r>
        <w:rPr>
          <w:b/>
          <w:bCs/>
          <w:sz w:val="22"/>
          <w:szCs w:val="22"/>
        </w:rPr>
        <w:t xml:space="preserve">Table S2. Sensitivity of headline results to a common observation window across all quality-controlled stations.</w:t>
      </w:r>
    </w:p>
    <w:p>
      <w:pPr>
        <w:spacing w:after="300" w:before="150"/>
      </w:pPr>
      <w:r>
        <w:rPr>
          <w:i/>
          <w:iCs/>
          <w:sz w:val="18"/>
          <w:szCs w:val="18"/>
        </w:rPr>
        <w:t xml:space="preserve">A fully common window across all 39 stations does not exist; after excluding 3 short-lived or late-starting stations, the longest common window is 26 days (8 Nov–5 Dec 2024, n = 36). This window is not adopted as the primary analysis period because it is an atypical, non-representative early-winter snapshot rather than a full heating season (see Section 4.3).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000"/>
      </w:tblGrid>
      <w:tr>
        <w:trPr>
          <w:tblHeader/>
        </w:trPr>
        <w:tc>
          <w:tcPr>
            <w:tcW w:type="dxa" w:w="4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Observation window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Gini coefficient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WHO 24h exceedance</w:t>
            </w:r>
          </w:p>
        </w:tc>
      </w:tr>
      <w:tr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Full period (main analysis, n = 39)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0.210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48.3%</w:t>
            </w:r>
          </w:p>
        </w:tc>
      </w:tr>
      <w:tr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Common 26-day window, 8 Nov – 5 Dec 2024 (n = 36)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0.171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91.3%</w:t>
            </w:r>
          </w:p>
        </w:tc>
      </w:tr>
    </w:tbl>
    <w:p>
      <w:pPr>
        <w:spacing w:after="150" w:before="300"/>
      </w:pPr>
      <w:r>
        <w:rPr>
          <w:b/>
          <w:bCs/>
          <w:sz w:val="22"/>
          <w:szCs w:val="22"/>
        </w:rPr>
        <w:t xml:space="preserve">Table S3. Sensitivity of headline results to alternative quality-control pipeline parameters.</w:t>
      </w:r>
    </w:p>
    <w:p>
      <w:pPr>
        <w:spacing w:after="300" w:before="150"/>
      </w:pPr>
      <w:r>
        <w:rPr>
          <w:i/>
          <w:iCs/>
          <w:sz w:val="18"/>
          <w:szCs w:val="18"/>
        </w:rPr>
        <w:t xml:space="preserve">WHO 24-hour exceedance uses daily means in local time (UTC+5) with a ≥18 h/day completeness rule. Naive Bayes accuracy is reported under the same leakage-free leave-one-station-out protocol used in the main text (threshold, scaling and evaluation confined to each training fold).</w:t>
      </w:r>
    </w:p>
    <w:tbl>
      <w:tblPr>
        <w:tblW w:type="dxa" w:w="11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600"/>
        <w:gridCol w:w="1800"/>
        <w:gridCol w:w="1400"/>
        <w:gridCol w:w="1800"/>
        <w:gridCol w:w="1800"/>
      </w:tblGrid>
      <w:tr>
        <w:trPr>
          <w:tblHeader/>
        </w:trPr>
        <w:tc>
          <w:tcPr>
            <w:tcW w:type="dxa" w:w="15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MAD threshold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Min. records/station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Stations retained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Records retained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Gini (station-level)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WHO 24h exceedance</w:t>
            </w:r>
          </w:p>
        </w:tc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Naive Bayes accuracy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404,903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0.29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39.7%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403,644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0.228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39.5%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402,387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0.213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39.6%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427,328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0.278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44.9%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1000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426,016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0.217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44.7%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424,660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0.202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44.9%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444,172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0.283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48.4%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0.72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8 (baseline)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1,000 (baseline)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442,322 (baseline)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0.21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48.3%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0.72</w:t>
            </w:r>
          </w:p>
        </w:tc>
      </w:tr>
      <w:tr>
        <w:tc>
          <w:tcPr>
            <w:tcW w:type="dxa" w:w="15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2000</w:t>
            </w:r>
          </w:p>
        </w:tc>
        <w:tc>
          <w:tcPr>
            <w:tcW w:type="dxa" w:w="1600"/>
          </w:tcPr>
          <w:p>
            <w:r>
              <w:rPr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440,904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0.195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48.4%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0.72</w:t>
            </w:r>
          </w:p>
        </w:tc>
      </w:tr>
    </w:tbl>
    <w:p>
      <w:pPr>
        <w:spacing w:after="150" w:before="300"/>
      </w:pPr>
      <w:r>
        <w:rPr>
          <w:b/>
          <w:bCs/>
          <w:sz w:val="22"/>
          <w:szCs w:val="22"/>
        </w:rPr>
        <w:t xml:space="preserve">Table S4. School-level winter PM2.5 exposure (n = 8 of 9 historical-network schools with valid winter observations).</w:t>
      </w:r>
    </w:p>
    <w:p>
      <w:pPr>
        <w:spacing w:after="300" w:before="150"/>
      </w:pPr>
      <w:r>
        <w:rPr>
          <w:i/>
          <w:iCs/>
          <w:sz w:val="18"/>
          <w:szCs w:val="18"/>
        </w:rPr>
        <w:t xml:space="preserve">Administrative district identified from institutional registries and job/procurement postings (open-source, non-GIS lookup); the geometric CHP quadrant is shown alongside as an independent cross-check. The two coincide perfectly: both schools in Alatau and the one in Zhetysu (northern districts) fall in the NE quadrant, while all five schools in Bostandyk, Medeu, Auezov, and Nauryzbay (southern/western districts) do not.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000"/>
        <w:gridCol w:w="1700"/>
        <w:gridCol w:w="1700"/>
      </w:tblGrid>
      <w:tr>
        <w:trPr>
          <w:tblHeader/>
        </w:trPr>
        <w:tc>
          <w:tcPr>
            <w:tcW w:type="dxa" w:w="18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School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Latitude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Longitude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Winter PM2.5 (µg/m³)</w:t>
            </w:r>
          </w:p>
        </w:tc>
        <w:tc>
          <w:tcPr>
            <w:tcW w:type="dxa" w:w="17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NE quadrant of CHP</w:t>
            </w:r>
          </w:p>
        </w:tc>
        <w:tc>
          <w:tcPr>
            <w:tcW w:type="dxa" w:w="1700"/>
            <w:shd w:fill="D9D9D9" w:val="clear"/>
          </w:tcPr>
          <w:p>
            <w:r>
              <w:rPr>
                <w:b/>
                <w:bCs/>
                <w:sz w:val="18"/>
                <w:szCs w:val="18"/>
              </w:rPr>
              <w:t xml:space="preserve">Administrative district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169 School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43.297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76.861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60.3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Alatau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School 160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43.336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76.913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56.3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Alatau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School 137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43.317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76.911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45.5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Zhetysu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School 192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43.172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76.852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28.2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Nauryzbay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School 77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43.218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76.950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23.8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Medeu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School 187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43.186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76.828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23.1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Bostandyk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School 190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43.155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76.899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21.1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Bostandyk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School 175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43.200</w:t>
            </w:r>
          </w:p>
        </w:tc>
        <w:tc>
          <w:tcPr>
            <w:tcW w:type="dxa" w:w="1400"/>
          </w:tcPr>
          <w:p>
            <w:r>
              <w:rPr>
                <w:sz w:val="18"/>
                <w:szCs w:val="18"/>
              </w:rPr>
              <w:t xml:space="preserve">76.854</w:t>
            </w:r>
          </w:p>
        </w:tc>
        <w:tc>
          <w:tcPr>
            <w:tcW w:type="dxa" w:w="2000"/>
          </w:tcPr>
          <w:p>
            <w:r>
              <w:rPr>
                <w:sz w:val="18"/>
                <w:szCs w:val="18"/>
              </w:rPr>
              <w:t xml:space="preserve">11.3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</w:tcPr>
          <w:p>
            <w:r>
              <w:rPr>
                <w:sz w:val="18"/>
                <w:szCs w:val="18"/>
              </w:rPr>
              <w:t xml:space="preserve">Auezov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2026-09-28T05:52:14.996Z</dcterms:created>
  <dcterms:modified xsi:type="dcterms:W3CDTF">2026-09-28T05:52:15.005Z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