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37"/>
        <w:ind w:left="0" w:right="0" w:hanging="0"/>
        <w:rPr/>
      </w:pPr>
      <w:r>
        <w:rPr/>
        <w:t>Приложение А</w:t>
      </w:r>
    </w:p>
    <w:p>
      <w:pPr>
        <w:pStyle w:val="Normal"/>
        <w:tabs>
          <w:tab w:val="clear" w:pos="708"/>
          <w:tab w:val="right" w:pos="9638" w:leader="none"/>
        </w:tabs>
        <w:spacing w:lineRule="atLeast" w:line="23"/>
        <w:ind w:left="0" w:right="0" w:hanging="0"/>
        <w:jc w:val="center"/>
        <w:rPr>
          <w:b/>
          <w:b/>
        </w:rPr>
      </w:pPr>
      <w:r>
        <w:rPr>
          <w:b/>
        </w:rPr>
        <w:t>О работе глобальных навигационных спутниковых систем (ГНСС)</w:t>
      </w:r>
    </w:p>
    <w:p>
      <w:pPr>
        <w:pStyle w:val="Normal"/>
        <w:tabs>
          <w:tab w:val="clear" w:pos="708"/>
          <w:tab w:val="right" w:pos="9638" w:leader="none"/>
        </w:tabs>
        <w:spacing w:lineRule="atLeast" w:line="23"/>
        <w:ind w:left="0" w:right="0" w:hanging="0"/>
        <w:jc w:val="center"/>
        <w:rPr/>
      </w:pPr>
      <w:r>
        <w:rPr>
          <w:b/>
        </w:rPr>
        <w:t xml:space="preserve">в ходе </w:t>
      </w:r>
      <w:r>
        <w:rPr>
          <w:b/>
          <w:szCs w:val="28"/>
        </w:rPr>
        <w:t xml:space="preserve">выполнения летных исследований информационно-посадочной системы </w:t>
      </w:r>
      <w:r>
        <w:rPr>
          <w:b/>
          <w:szCs w:val="28"/>
        </w:rPr>
        <w:t>МИ-17</w:t>
      </w:r>
    </w:p>
    <w:p>
      <w:pPr>
        <w:pStyle w:val="Normal"/>
        <w:spacing w:lineRule="atLeast" w:line="23"/>
        <w:ind w:left="0" w:right="0"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spacing w:lineRule="atLeast" w:line="23"/>
        <w:ind w:left="0" w:right="0" w:hanging="0"/>
        <w:jc w:val="center"/>
        <w:rPr>
          <w:szCs w:val="28"/>
        </w:rPr>
      </w:pPr>
      <w:r>
        <w:rPr>
          <w:szCs w:val="28"/>
        </w:rPr>
        <w:t>Район аэродрома «Северка», городской округ Коломна,</w:t>
      </w:r>
    </w:p>
    <w:p>
      <w:pPr>
        <w:pStyle w:val="Normal"/>
        <w:spacing w:lineRule="atLeast" w:line="23"/>
        <w:ind w:left="0" w:right="0" w:hanging="0"/>
        <w:jc w:val="center"/>
        <w:rPr>
          <w:szCs w:val="28"/>
        </w:rPr>
      </w:pPr>
      <w:r>
        <w:rPr>
          <w:szCs w:val="28"/>
        </w:rPr>
        <w:t>Московская область, 13 февраля 2024 года</w:t>
      </w:r>
    </w:p>
    <w:p>
      <w:pPr>
        <w:pStyle w:val="Normal"/>
        <w:spacing w:lineRule="atLeast" w:line="23"/>
        <w:ind w:left="0" w:right="0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76"/>
        <w:rPr>
          <w:sz w:val="24"/>
        </w:rPr>
      </w:pPr>
      <w:r>
        <w:rPr>
          <w:sz w:val="24"/>
        </w:rPr>
        <w:t xml:space="preserve">При проведении экспериментов отмечено снижение мощности сигналов ГНСС вплоть до полного пропадания в большей части района проведения исследований. Отмечена взаимосвязь сбоев навигационного решения ГНСС с набором высоты </w:t>
      </w:r>
      <w:r>
        <w:rPr>
          <w:sz w:val="24"/>
        </w:rPr>
        <w:t>250</w:t>
      </w:r>
      <w:r>
        <w:rPr>
          <w:sz w:val="24"/>
        </w:rPr>
        <w:t>-</w:t>
      </w:r>
      <w:r>
        <w:rPr>
          <w:sz w:val="24"/>
        </w:rPr>
        <w:t>500</w:t>
      </w:r>
      <w:r>
        <w:rPr>
          <w:sz w:val="24"/>
        </w:rPr>
        <w:t xml:space="preserve"> м над землей при вылете с аэродрома (рис. А.1). Далее в тексте используются нередактируемые данные специального геодезического программного обеспечения.</w:t>
      </w:r>
    </w:p>
    <w:p>
      <w:pPr>
        <w:pStyle w:val="Normal"/>
        <w:spacing w:lineRule="auto" w:line="276"/>
        <w:ind w:left="0" w:right="0" w:hanging="0"/>
        <w:jc w:val="center"/>
        <w:rPr/>
      </w:pPr>
      <w:bookmarkStart w:id="0" w:name="_Ref135300514"/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-497840</wp:posOffset>
            </wp:positionH>
            <wp:positionV relativeFrom="paragraph">
              <wp:posOffset>107950</wp:posOffset>
            </wp:positionV>
            <wp:extent cx="6510655" cy="454406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6608" t="7249" r="8885" b="4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655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Рисунок А.</w:t>
      </w:r>
      <w:r>
        <w:rPr>
          <w:sz w:val="24"/>
        </w:rPr>
        <w:fldChar w:fldCharType="begin"/>
      </w:r>
      <w:r>
        <w:rPr>
          <w:sz w:val="24"/>
        </w:rPr>
        <w:instrText xml:space="preserve"> SEQ Рисунок \* ARABIC </w:instrText>
      </w:r>
      <w:r>
        <w:rPr>
          <w:sz w:val="24"/>
        </w:rPr>
        <w:fldChar w:fldCharType="separate"/>
      </w:r>
      <w:r>
        <w:rPr>
          <w:sz w:val="24"/>
        </w:rPr>
        <w:t>1</w:t>
      </w:r>
      <w:r>
        <w:rPr>
          <w:sz w:val="24"/>
        </w:rPr>
        <w:fldChar w:fldCharType="end"/>
      </w:r>
      <w:bookmarkEnd w:id="0"/>
      <w:r>
        <w:rPr>
          <w:sz w:val="24"/>
        </w:rPr>
        <w:t xml:space="preserve"> – Т</w:t>
      </w:r>
      <w:bookmarkStart w:id="1" w:name="__DdeLink__442_3845850617"/>
      <w:bookmarkStart w:id="2" w:name="__DdeLink__444_3845850617"/>
      <w:r>
        <w:rPr>
          <w:sz w:val="24"/>
        </w:rPr>
        <w:t xml:space="preserve">раектория </w:t>
      </w:r>
      <w:r>
        <w:rPr>
          <w:sz w:val="24"/>
        </w:rPr>
        <w:t>ЛА</w:t>
      </w:r>
      <w:r>
        <w:rPr>
          <w:sz w:val="24"/>
        </w:rPr>
        <w:t xml:space="preserve"> при вылете с аэродрома по данным ГНСС</w:t>
      </w:r>
      <w:bookmarkEnd w:id="1"/>
      <w:bookmarkEnd w:id="2"/>
      <w:r>
        <w:rPr>
          <w:sz w:val="24"/>
        </w:rPr>
        <w:t xml:space="preserve"> </w:t>
      </w:r>
    </w:p>
    <w:p>
      <w:pPr>
        <w:pStyle w:val="Normal"/>
        <w:spacing w:lineRule="auto" w:line="276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rPr/>
      </w:pPr>
      <w:r>
        <w:rPr>
          <w:sz w:val="24"/>
        </w:rPr>
        <w:t>В ходе полета по мере набора высоты (рис. А.2) снижалось количество спутников (</w:t>
      </w:r>
      <w:r>
        <w:rPr>
          <w:sz w:val="24"/>
          <w:lang w:val="en-US"/>
        </w:rPr>
        <w:t>GPS</w:t>
      </w:r>
      <w:r>
        <w:rPr>
          <w:sz w:val="24"/>
        </w:rPr>
        <w:t xml:space="preserve"> и ГЛОНАСС), сигналы которых доступны для получения навигационного решения (рис. А.3).</w:t>
      </w:r>
    </w:p>
    <w:p>
      <w:pPr>
        <w:pStyle w:val="Normal"/>
        <w:spacing w:lineRule="auto" w:line="276"/>
        <w:ind w:left="0" w:right="0" w:hanging="0"/>
        <w:jc w:val="center"/>
        <w:rPr/>
      </w:pPr>
      <w:bookmarkStart w:id="3" w:name="_Ref135300635"/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99695</wp:posOffset>
            </wp:positionH>
            <wp:positionV relativeFrom="paragraph">
              <wp:posOffset>5715</wp:posOffset>
            </wp:positionV>
            <wp:extent cx="5858510" cy="400177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6296" t="7933" r="8258" b="4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Рисунок А.2</w:t>
      </w:r>
      <w:bookmarkEnd w:id="3"/>
      <w:r>
        <w:rPr>
          <w:sz w:val="24"/>
        </w:rPr>
        <w:t xml:space="preserve"> – </w:t>
      </w:r>
      <w:bookmarkStart w:id="4" w:name="__DdeLink__463_3845850617"/>
      <w:r>
        <w:rPr>
          <w:sz w:val="24"/>
        </w:rPr>
        <w:t xml:space="preserve">Высота </w:t>
      </w:r>
      <w:r>
        <w:rPr>
          <w:sz w:val="24"/>
        </w:rPr>
        <w:t>ЛА</w:t>
      </w:r>
      <w:r>
        <w:rPr>
          <w:sz w:val="24"/>
        </w:rPr>
        <w:t xml:space="preserve"> по данным ГНСС</w:t>
      </w:r>
      <w:bookmarkEnd w:id="4"/>
    </w:p>
    <w:p>
      <w:pPr>
        <w:pStyle w:val="Normal"/>
        <w:spacing w:lineRule="auto" w:line="276"/>
        <w:ind w:left="0" w:right="0" w:hanging="0"/>
        <w:jc w:val="center"/>
        <w:rPr/>
      </w:pPr>
      <w:bookmarkStart w:id="5" w:name="_Ref135300519"/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90170</wp:posOffset>
            </wp:positionH>
            <wp:positionV relativeFrom="paragraph">
              <wp:posOffset>-8890</wp:posOffset>
            </wp:positionV>
            <wp:extent cx="5810885" cy="404495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7067" t="7362" r="8415" b="4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Рисунок </w:t>
      </w:r>
      <w:bookmarkEnd w:id="5"/>
      <w:r>
        <w:rPr>
          <w:sz w:val="24"/>
        </w:rPr>
        <w:t xml:space="preserve">А.3 – </w:t>
      </w:r>
      <w:bookmarkStart w:id="6" w:name="__DdeLink__423_3845850617"/>
      <w:r>
        <w:rPr>
          <w:sz w:val="24"/>
        </w:rPr>
        <w:t>Количество спутников на всей траектории</w:t>
      </w:r>
      <w:bookmarkEnd w:id="6"/>
    </w:p>
    <w:p>
      <w:pPr>
        <w:pStyle w:val="Normal"/>
        <w:spacing w:lineRule="auto" w:line="276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rPr/>
      </w:pPr>
      <w:r>
        <w:rPr>
          <w:sz w:val="24"/>
        </w:rPr>
        <w:t xml:space="preserve">Согласно иллюстрациям, в </w:t>
      </w:r>
      <w:r>
        <w:rPr>
          <w:sz w:val="24"/>
        </w:rPr>
        <w:t>нескольких моментах</w:t>
      </w:r>
      <w:r>
        <w:rPr>
          <w:sz w:val="24"/>
        </w:rPr>
        <w:t xml:space="preserve"> времени высокоточное навигационное решение наименее точное, что связано со снижением числа спутников до 6х и менее.</w:t>
      </w:r>
    </w:p>
    <w:p>
      <w:pPr>
        <w:pStyle w:val="Normal"/>
        <w:spacing w:lineRule="auto" w:line="276"/>
        <w:rPr>
          <w:sz w:val="24"/>
        </w:rPr>
      </w:pPr>
      <w:r>
        <w:rPr>
          <w:sz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-62230</wp:posOffset>
            </wp:positionH>
            <wp:positionV relativeFrom="paragraph">
              <wp:posOffset>-6985</wp:posOffset>
            </wp:positionV>
            <wp:extent cx="5910580" cy="418719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8077" t="7264" r="8885" b="4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58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ind w:left="0" w:right="0" w:hanging="0"/>
        <w:jc w:val="center"/>
        <w:rPr/>
      </w:pPr>
      <w:r>
        <w:rPr>
          <w:sz w:val="24"/>
        </w:rPr>
        <w:t xml:space="preserve">Рисунок А.4 – </w:t>
      </w:r>
      <w:bookmarkStart w:id="7" w:name="__DdeLink__503_3845850617"/>
      <w:bookmarkStart w:id="8" w:name="__DdeLink__500_3845850617"/>
      <w:r>
        <w:rPr>
          <w:sz w:val="24"/>
        </w:rPr>
        <w:t>СКО</w:t>
      </w:r>
      <w:bookmarkEnd w:id="8"/>
      <w:r>
        <w:rPr>
          <w:sz w:val="24"/>
        </w:rPr>
        <w:t xml:space="preserve"> определения местоположения ГНСС</w:t>
      </w:r>
      <w:bookmarkEnd w:id="7"/>
    </w:p>
    <w:p>
      <w:pPr>
        <w:pStyle w:val="Normal"/>
        <w:spacing w:lineRule="auto" w:line="276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rPr/>
      </w:pPr>
      <w:r>
        <w:rPr>
          <w:sz w:val="24"/>
        </w:rPr>
        <w:t xml:space="preserve">Для сравнительного анализа качества данных ГНСС у земли и в полете выбраны 2 точки: точка взлета </w:t>
      </w:r>
      <w:r>
        <w:rPr>
          <w:sz w:val="24"/>
        </w:rPr>
        <w:t>ЛА</w:t>
      </w:r>
      <w:r>
        <w:rPr>
          <w:sz w:val="24"/>
        </w:rPr>
        <w:t xml:space="preserve"> (ТВ, момент времени 9:37:02 — </w:t>
      </w:r>
      <w:r>
        <w:rPr>
          <w:sz w:val="24"/>
        </w:rPr>
        <w:t>0 с.</w:t>
      </w:r>
      <w:r>
        <w:rPr>
          <w:sz w:val="24"/>
        </w:rPr>
        <w:t xml:space="preserve">) и контрольная точка (КТ, момент времени </w:t>
      </w:r>
      <w:r>
        <w:rPr>
          <w:sz w:val="24"/>
        </w:rPr>
        <w:t>10:35</w:t>
      </w:r>
      <w:r>
        <w:rPr>
          <w:sz w:val="24"/>
        </w:rPr>
        <w:t>:</w:t>
      </w:r>
      <w:r>
        <w:rPr>
          <w:sz w:val="24"/>
        </w:rPr>
        <w:t xml:space="preserve">24 — </w:t>
      </w:r>
      <w:r>
        <w:rPr>
          <w:sz w:val="24"/>
        </w:rPr>
        <w:t>3503 с.</w:t>
      </w:r>
      <w:r>
        <w:rPr>
          <w:sz w:val="24"/>
        </w:rPr>
        <w:t xml:space="preserve">), в которой </w:t>
      </w:r>
      <w:r>
        <w:rPr>
          <w:sz w:val="24"/>
        </w:rPr>
        <w:t>пропало навигационное решение</w:t>
      </w:r>
    </w:p>
    <w:p>
      <w:pPr>
        <w:pStyle w:val="Normal"/>
        <w:spacing w:lineRule="auto" w:line="276"/>
        <w:rPr/>
      </w:pPr>
      <w:r>
        <w:rPr>
          <w:sz w:val="24"/>
        </w:rPr>
        <w:t xml:space="preserve">Согласно рис. А.5 в точке ТВ наблюдались 14 спутника, а для решения использовались 12.  </w:t>
      </w:r>
    </w:p>
    <w:p>
      <w:pPr>
        <w:pStyle w:val="Normal"/>
        <w:spacing w:lineRule="auto" w:line="276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ind w:left="0" w:right="0" w:hanging="0"/>
        <w:jc w:val="center"/>
        <w:rPr>
          <w:sz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-519430</wp:posOffset>
            </wp:positionH>
            <wp:positionV relativeFrom="paragraph">
              <wp:posOffset>635</wp:posOffset>
            </wp:positionV>
            <wp:extent cx="6846570" cy="148209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-521" b="44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57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0160" distL="18415" distR="13970" simplePos="0" locked="0" layoutInCell="0" allowOverlap="1" relativeHeight="3">
                <wp:simplePos x="0" y="0"/>
                <wp:positionH relativeFrom="column">
                  <wp:posOffset>547370</wp:posOffset>
                </wp:positionH>
                <wp:positionV relativeFrom="paragraph">
                  <wp:posOffset>635</wp:posOffset>
                </wp:positionV>
                <wp:extent cx="428625" cy="1481455"/>
                <wp:effectExtent l="19685" t="19685" r="18415" b="18415"/>
                <wp:wrapTight wrapText="right">
                  <wp:wrapPolygon edited="0">
                    <wp:start x="-16" y="21596"/>
                    <wp:lineTo x="-16" y="-4"/>
                    <wp:lineTo x="21584" y="-4"/>
                    <wp:lineTo x="21584" y="21596"/>
                    <wp:lineTo x="-16" y="21596"/>
                  </wp:wrapPolygon>
                </wp:wrapTight>
                <wp:docPr id="6" name="Прямоугольник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760" cy="1481400"/>
                        </a:xfrm>
                        <a:prstGeom prst="rect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1" path="m0,0l-2147483645,0l-2147483645,-2147483646l0,-2147483646xe" stroked="t" o:allowincell="f" style="position:absolute;margin-left:43.1pt;margin-top:0.05pt;width:33.7pt;height:116.6pt;mso-wrap-style:none;v-text-anchor:middle">
                <v:fill o:detectmouseclick="t" on="false"/>
                <v:stroke color="red" weight="38160" joinstyle="round" endcap="flat"/>
                <w10:wrap type="square" side="right"/>
              </v:rect>
            </w:pict>
          </mc:Fallback>
        </mc:AlternateContent>
        <mc:AlternateContent>
          <mc:Choice Requires="wps">
            <w:drawing>
              <wp:anchor behindDoc="0" distT="19050" distB="10160" distL="18415" distR="14605" simplePos="0" locked="0" layoutInCell="0" allowOverlap="1" relativeHeight="4">
                <wp:simplePos x="0" y="0"/>
                <wp:positionH relativeFrom="margin">
                  <wp:posOffset>5757545</wp:posOffset>
                </wp:positionH>
                <wp:positionV relativeFrom="paragraph">
                  <wp:posOffset>635</wp:posOffset>
                </wp:positionV>
                <wp:extent cx="568960" cy="1481455"/>
                <wp:effectExtent l="19050" t="19685" r="19050" b="18415"/>
                <wp:wrapTight wrapText="right">
                  <wp:wrapPolygon edited="0">
                    <wp:start x="0" y="21596"/>
                    <wp:lineTo x="0" y="-4"/>
                    <wp:lineTo x="21600" y="-4"/>
                    <wp:lineTo x="21600" y="21596"/>
                    <wp:lineTo x="0" y="21596"/>
                  </wp:wrapPolygon>
                </wp:wrapTight>
                <wp:docPr id="7" name="Прямоугольник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800" cy="1481400"/>
                        </a:xfrm>
                        <a:prstGeom prst="rect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21" path="m0,0l-2147483645,0l-2147483645,-2147483646l0,-2147483646xe" stroked="t" o:allowincell="f" style="position:absolute;margin-left:453.35pt;margin-top:0.05pt;width:44.75pt;height:116.6pt;mso-wrap-style:none;v-text-anchor:middle;mso-position-horizontal-relative:margin">
                <v:fill o:detectmouseclick="t" on="false"/>
                <v:stroke color="red" weight="38160" joinstyle="round" endcap="flat"/>
                <w10:wrap type="square" side="right"/>
              </v:rect>
            </w:pict>
          </mc:Fallback>
        </mc:AlternateContent>
      </w:r>
      <w:r>
        <w:rPr>
          <w:sz w:val="24"/>
        </w:rPr>
        <w:t>Рисунок А.5 – Данные ГНСС в момент взлёта (ТВ)</w:t>
      </w:r>
    </w:p>
    <w:p>
      <w:pPr>
        <w:pStyle w:val="Normal"/>
        <w:spacing w:lineRule="auto" w:line="276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ind w:left="0" w:right="0" w:hanging="0"/>
        <w:rPr>
          <w:sz w:val="24"/>
        </w:rPr>
      </w:pPr>
      <w:r>
        <w:rPr>
          <w:sz w:val="24"/>
        </w:rPr>
        <mc:AlternateContent>
          <mc:Choice Requires="wps">
            <w:drawing>
              <wp:anchor behindDoc="0" distT="19050" distB="19050" distL="19050" distR="19050" simplePos="0" locked="0" layoutInCell="0" allowOverlap="1" relativeHeight="12">
                <wp:simplePos x="0" y="0"/>
                <wp:positionH relativeFrom="column">
                  <wp:posOffset>385445</wp:posOffset>
                </wp:positionH>
                <wp:positionV relativeFrom="paragraph">
                  <wp:posOffset>-21590</wp:posOffset>
                </wp:positionV>
                <wp:extent cx="452755" cy="1670050"/>
                <wp:effectExtent l="19050" t="19050" r="19050" b="19050"/>
                <wp:wrapNone/>
                <wp:docPr id="8" name="Прямоугольник 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880" cy="1670040"/>
                        </a:xfrm>
                        <a:prstGeom prst="rect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25" path="m0,0l-2147483645,0l-2147483645,-2147483646l0,-2147483646xe" stroked="t" o:allowincell="f" style="position:absolute;margin-left:30.35pt;margin-top:-1.7pt;width:35.6pt;height:131.45pt;mso-wrap-style:none;v-text-anchor:middle">
                <v:fill o:detectmouseclick="t" on="false"/>
                <v:stroke color="red" weight="381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9685" distB="18415" distL="19050" distR="19050" simplePos="0" locked="0" layoutInCell="0" allowOverlap="1" relativeHeight="13">
                <wp:simplePos x="0" y="0"/>
                <wp:positionH relativeFrom="column">
                  <wp:posOffset>5719445</wp:posOffset>
                </wp:positionH>
                <wp:positionV relativeFrom="paragraph">
                  <wp:posOffset>635</wp:posOffset>
                </wp:positionV>
                <wp:extent cx="568960" cy="1670050"/>
                <wp:effectExtent l="19050" t="19685" r="19050" b="18415"/>
                <wp:wrapNone/>
                <wp:docPr id="9" name="Прямоугольник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800" cy="1670040"/>
                        </a:xfrm>
                        <a:prstGeom prst="rect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2" path="m0,0l-2147483645,0l-2147483645,-2147483646l0,-2147483646xe" stroked="t" o:allowincell="f" style="position:absolute;margin-left:450.35pt;margin-top:0pt;width:44.75pt;height:131.45pt;mso-wrap-style:none;v-text-anchor:middle">
                <v:fill o:detectmouseclick="t" on="false"/>
                <v:stroke color="red" weight="38160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-576580</wp:posOffset>
            </wp:positionH>
            <wp:positionV relativeFrom="paragraph">
              <wp:posOffset>635</wp:posOffset>
            </wp:positionV>
            <wp:extent cx="6865620" cy="1649095"/>
            <wp:effectExtent l="0" t="0" r="0" b="0"/>
            <wp:wrapTopAndBottom/>
            <wp:docPr id="10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62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Рисунок А.6 – Данные ГНСС в момент последнего определения местоположения (КТ)</w:t>
      </w:r>
    </w:p>
    <w:p>
      <w:pPr>
        <w:pStyle w:val="Normal"/>
        <w:spacing w:lineRule="auto" w:line="276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rPr>
          <w:sz w:val="24"/>
        </w:rPr>
      </w:pPr>
      <w:r>
        <w:rPr>
          <w:sz w:val="24"/>
        </w:rPr>
        <w:t xml:space="preserve">Согласно рис. А.6 в точке КТ наблюдалось </w:t>
      </w:r>
      <w:r>
        <w:rPr>
          <w:sz w:val="24"/>
        </w:rPr>
        <w:t>5</w:t>
      </w:r>
      <w:r>
        <w:rPr>
          <w:sz w:val="24"/>
        </w:rPr>
        <w:t xml:space="preserve"> спутников, из которых </w:t>
      </w:r>
      <w:r>
        <w:rPr>
          <w:sz w:val="24"/>
        </w:rPr>
        <w:t>5</w:t>
      </w:r>
      <w:r>
        <w:rPr>
          <w:sz w:val="24"/>
        </w:rPr>
        <w:t xml:space="preserve"> использовались для получения навигационного решения. </w:t>
      </w:r>
    </w:p>
    <w:p>
      <w:pPr>
        <w:pStyle w:val="Normal"/>
        <w:spacing w:lineRule="auto" w:line="276"/>
        <w:rPr/>
      </w:pPr>
      <w:r>
        <w:rPr>
          <w:sz w:val="24"/>
        </w:rPr>
        <w:t xml:space="preserve">В таблице А.1. приведены данные о наблюдаемых спутниках </w:t>
      </w:r>
      <w:r>
        <w:rPr>
          <w:sz w:val="24"/>
          <w:lang w:val="en-US"/>
        </w:rPr>
        <w:t>GPS</w:t>
      </w:r>
      <w:r>
        <w:rPr>
          <w:sz w:val="24"/>
        </w:rPr>
        <w:t xml:space="preserve"> и ГЛОНАСС в момент ТВ (21 спутник) и момент КТ (6 спутников).</w:t>
      </w:r>
    </w:p>
    <w:p>
      <w:pPr>
        <w:pStyle w:val="Normal"/>
        <w:spacing w:lineRule="auto" w:line="276"/>
        <w:jc w:val="right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jc w:val="right"/>
        <w:rPr>
          <w:sz w:val="24"/>
        </w:rPr>
      </w:pPr>
      <w:r>
        <w:rPr>
          <w:sz w:val="24"/>
        </w:rPr>
      </w:r>
    </w:p>
    <w:tbl>
      <w:tblPr>
        <w:tblW w:w="9628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14"/>
        <w:gridCol w:w="25"/>
        <w:gridCol w:w="4788"/>
      </w:tblGrid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 w:before="0" w:after="0"/>
              <w:ind w:left="0" w:right="0" w:hanging="0"/>
              <w:jc w:val="center"/>
              <w:rPr>
                <w:rFonts w:eastAsia="Calibri"/>
                <w:kern w:val="0"/>
                <w:sz w:val="24"/>
                <w:szCs w:val="22"/>
                <w:lang w:val="ru-RU" w:eastAsia="en-US" w:bidi="ar-SA"/>
              </w:rPr>
            </w:pPr>
            <w:r>
              <w:rPr>
                <w:rFonts w:eastAsia="Calibri"/>
                <w:kern w:val="0"/>
                <w:sz w:val="24"/>
                <w:szCs w:val="22"/>
                <w:lang w:val="ru-RU" w:eastAsia="en-US" w:bidi="ar-SA"/>
              </w:rPr>
              <w:t>Перечень наблюдаемых спутников</w:t>
            </w:r>
          </w:p>
          <w:p>
            <w:pPr>
              <w:pStyle w:val="Normal"/>
              <w:widowControl w:val="false"/>
              <w:spacing w:lineRule="auto" w:line="276" w:before="0" w:after="0"/>
              <w:ind w:left="0" w:right="0" w:hanging="0"/>
              <w:jc w:val="center"/>
              <w:rPr>
                <w:rFonts w:eastAsia="Calibri"/>
                <w:kern w:val="0"/>
                <w:sz w:val="24"/>
                <w:szCs w:val="22"/>
                <w:lang w:val="ru-RU" w:eastAsia="en-US" w:bidi="ar-SA"/>
              </w:rPr>
            </w:pPr>
            <w:r>
              <w:rPr>
                <w:rFonts w:eastAsia="Calibri"/>
                <w:kern w:val="0"/>
                <w:sz w:val="24"/>
                <w:szCs w:val="22"/>
                <w:lang w:val="ru-RU" w:eastAsia="en-US" w:bidi="ar-SA"/>
              </w:rPr>
              <w:t>в момент ТВ</w:t>
            </w:r>
          </w:p>
        </w:tc>
        <w:tc>
          <w:tcPr>
            <w:tcW w:w="48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76" w:before="0" w:after="0"/>
              <w:ind w:left="0" w:right="0" w:hanging="0"/>
              <w:jc w:val="center"/>
              <w:rPr>
                <w:rFonts w:eastAsia="Calibri"/>
                <w:kern w:val="0"/>
                <w:sz w:val="24"/>
                <w:szCs w:val="22"/>
                <w:lang w:val="ru-RU" w:eastAsia="en-US" w:bidi="ar-SA"/>
              </w:rPr>
            </w:pPr>
            <w:r>
              <w:rPr>
                <w:rFonts w:eastAsia="Calibri"/>
                <w:kern w:val="0"/>
                <w:sz w:val="24"/>
                <w:szCs w:val="22"/>
                <w:lang w:val="ru-RU" w:eastAsia="en-US" w:bidi="ar-SA"/>
              </w:rPr>
              <w:t>Перечень наблюдаемых спутников</w:t>
            </w:r>
          </w:p>
          <w:p>
            <w:pPr>
              <w:pStyle w:val="Normal"/>
              <w:widowControl w:val="false"/>
              <w:spacing w:lineRule="auto" w:line="276" w:before="0" w:after="0"/>
              <w:ind w:left="0" w:right="0" w:hanging="0"/>
              <w:jc w:val="center"/>
              <w:rPr>
                <w:rFonts w:eastAsia="Calibri"/>
                <w:kern w:val="0"/>
                <w:sz w:val="24"/>
                <w:szCs w:val="22"/>
                <w:lang w:val="ru-RU" w:eastAsia="en-US" w:bidi="ar-SA"/>
              </w:rPr>
            </w:pPr>
            <w:r>
              <w:rPr>
                <w:rFonts w:eastAsia="Calibri"/>
                <w:kern w:val="0"/>
                <w:sz w:val="24"/>
                <w:szCs w:val="22"/>
                <w:lang w:val="ru-RU" w:eastAsia="en-US" w:bidi="ar-SA"/>
              </w:rPr>
              <w:t>в момент КТ</w:t>
            </w:r>
          </w:p>
        </w:tc>
      </w:tr>
      <w:tr>
        <w:trPr/>
        <w:tc>
          <w:tcPr>
            <w:tcW w:w="48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ind w:left="0" w:right="0" w:hanging="0"/>
              <w:jc w:val="center"/>
              <w:rPr>
                <w:rFonts w:eastAsia="Calibri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/>
                <w:kern w:val="0"/>
                <w:szCs w:val="22"/>
                <w:lang w:val="ru-RU" w:eastAsia="en-US" w:bidi="ar-SA"/>
              </w:rP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179070</wp:posOffset>
                  </wp:positionH>
                  <wp:positionV relativeFrom="paragraph">
                    <wp:posOffset>142875</wp:posOffset>
                  </wp:positionV>
                  <wp:extent cx="2576830" cy="2547620"/>
                  <wp:effectExtent l="0" t="0" r="0" b="0"/>
                  <wp:wrapSquare wrapText="largest"/>
                  <wp:docPr id="11" name="Изображение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254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mc:AlternateContent>
                <mc:Choice Requires="wps">
                  <w:drawing>
                    <wp:anchor behindDoc="0" distT="19685" distB="18415" distL="19050" distR="19050" simplePos="0" locked="0" layoutInCell="0" allowOverlap="1" relativeHeight="6">
                      <wp:simplePos x="0" y="0"/>
                      <wp:positionH relativeFrom="column">
                        <wp:posOffset>314960</wp:posOffset>
                      </wp:positionH>
                      <wp:positionV relativeFrom="paragraph">
                        <wp:posOffset>142875</wp:posOffset>
                      </wp:positionV>
                      <wp:extent cx="1219200" cy="2566035"/>
                      <wp:effectExtent l="19050" t="19685" r="19050" b="18415"/>
                      <wp:wrapNone/>
                      <wp:docPr id="12" name="Прямоугольник 19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320" cy="2566080"/>
                              </a:xfrm>
                              <a:prstGeom prst="rect">
                                <a:avLst/>
                              </a:prstGeom>
                              <a:noFill/>
                              <a:ln w="38160">
                                <a:solidFill>
                                  <a:srgbClr val="ff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Прямоугольник 19" path="m0,0l-2147483645,0l-2147483645,-2147483646l0,-2147483646xe" stroked="t" o:allowincell="f" style="position:absolute;margin-left:24.8pt;margin-top:11.25pt;width:95.95pt;height:202pt;mso-wrap-style:none;v-text-anchor:middle">
                      <v:fill o:detectmouseclick="t" on="false"/>
                      <v:stroke color="red" weight="38160" joinstyle="round" endcap="flat"/>
                      <w10:wrap type="none"/>
                    </v:rect>
                  </w:pict>
                </mc:Fallback>
              </mc:AlternateContent>
            </w:r>
          </w:p>
        </w:tc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ind w:left="0" w:right="0" w:hanging="0"/>
              <w:jc w:val="center"/>
              <w:rPr>
                <w:rFonts w:eastAsia="Calibri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/>
                <w:kern w:val="0"/>
                <w:szCs w:val="22"/>
                <w:lang w:val="ru-RU" w:eastAsia="en-US" w:bidi="ar-SA"/>
              </w:rPr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posOffset>203835</wp:posOffset>
                  </wp:positionH>
                  <wp:positionV relativeFrom="paragraph">
                    <wp:posOffset>161925</wp:posOffset>
                  </wp:positionV>
                  <wp:extent cx="2609850" cy="1004570"/>
                  <wp:effectExtent l="0" t="0" r="0" b="0"/>
                  <wp:wrapSquare wrapText="largest"/>
                  <wp:docPr id="13" name="Изображение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100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mc:AlternateContent>
                <mc:Choice Requires="wps">
                  <w:drawing>
                    <wp:anchor behindDoc="0" distT="19050" distB="19050" distL="19685" distR="18415" simplePos="0" locked="0" layoutInCell="0" allowOverlap="1" relativeHeight="15">
                      <wp:simplePos x="0" y="0"/>
                      <wp:positionH relativeFrom="column">
                        <wp:posOffset>321310</wp:posOffset>
                      </wp:positionH>
                      <wp:positionV relativeFrom="paragraph">
                        <wp:posOffset>133350</wp:posOffset>
                      </wp:positionV>
                      <wp:extent cx="1263015" cy="1032510"/>
                      <wp:effectExtent l="19685" t="19050" r="18415" b="19050"/>
                      <wp:wrapNone/>
                      <wp:docPr id="14" name="Прямоугольник 3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62880" cy="1032480"/>
                              </a:xfrm>
                              <a:prstGeom prst="rect">
                                <a:avLst/>
                              </a:prstGeom>
                              <a:noFill/>
                              <a:ln w="38160">
                                <a:solidFill>
                                  <a:srgbClr val="ff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Прямоугольник 32" path="m0,0l-2147483645,0l-2147483645,-2147483646l0,-2147483646xe" stroked="t" o:allowincell="f" style="position:absolute;margin-left:25.3pt;margin-top:10.5pt;width:99.4pt;height:81.25pt;mso-wrap-style:none;v-text-anchor:middle">
                      <v:fill o:detectmouseclick="t" on="false"/>
                      <v:stroke color="red" weight="38160" joinstyle="round" endcap="flat"/>
                      <w10:wrap type="none"/>
                    </v:rect>
                  </w:pict>
                </mc:Fallback>
              </mc:AlternateContent>
            </w:r>
          </w:p>
        </w:tc>
      </w:tr>
    </w:tbl>
    <w:p>
      <w:pPr>
        <w:pStyle w:val="Normal"/>
        <w:spacing w:lineRule="auto" w:line="276"/>
        <w:jc w:val="right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ind w:left="0" w:right="0" w:hanging="0"/>
        <w:jc w:val="center"/>
        <w:rPr/>
      </w:pPr>
      <w:r>
        <w:rPr>
          <w:sz w:val="24"/>
        </w:rPr>
        <w:t>Таблица А.</w:t>
      </w:r>
      <w:r>
        <w:rPr>
          <w:sz w:val="24"/>
        </w:rPr>
        <w:fldChar w:fldCharType="begin"/>
      </w:r>
      <w:r>
        <w:rPr>
          <w:sz w:val="24"/>
        </w:rPr>
        <w:instrText xml:space="preserve"> SEQ Таблица \* ARABIC </w:instrText>
      </w:r>
      <w:r>
        <w:rPr>
          <w:sz w:val="24"/>
        </w:rPr>
        <w:fldChar w:fldCharType="separate"/>
      </w:r>
      <w:r>
        <w:rPr>
          <w:sz w:val="24"/>
        </w:rPr>
        <w:t>1</w:t>
      </w:r>
      <w:r>
        <w:rPr>
          <w:sz w:val="24"/>
        </w:rPr>
        <w:fldChar w:fldCharType="end"/>
      </w:r>
      <w:r>
        <w:rPr>
          <w:sz w:val="24"/>
        </w:rPr>
        <w:t xml:space="preserve"> – Анализ параметров спутников ГНСС</w:t>
      </w:r>
    </w:p>
    <w:p>
      <w:pPr>
        <w:pStyle w:val="Normal"/>
        <w:spacing w:lineRule="auto" w:line="276"/>
        <w:jc w:val="right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ind w:left="0" w:right="0" w:hanging="0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ind w:left="0" w:right="0" w:hanging="0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ind w:left="0" w:right="0" w:hanging="0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ind w:left="0" w:right="0" w:hanging="0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ind w:left="0" w:right="0" w:hanging="0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ind w:left="0" w:right="0" w:hanging="0"/>
        <w:rPr/>
      </w:pPr>
      <w:r>
        <w:rPr>
          <w:sz w:val="24"/>
        </w:rPr>
        <w:tab/>
        <w:t xml:space="preserve">На графике А.7 приведены данные о параметрах всех спутников, которые наблюдались и в момент ТВ и в момент КТ. Согласно приведённым параметрам </w:t>
      </w:r>
      <w:bookmarkStart w:id="9" w:name="__DdeLink__509_2779228595"/>
      <w:r>
        <w:rPr>
          <w:sz w:val="24"/>
        </w:rPr>
        <w:t>уровень сигнала</w:t>
      </w:r>
      <w:bookmarkEnd w:id="9"/>
      <w:r>
        <w:rPr>
          <w:sz w:val="24"/>
        </w:rPr>
        <w:t xml:space="preserve"> (</w:t>
      </w:r>
      <w:r>
        <w:rPr>
          <w:sz w:val="24"/>
          <w:lang w:val="en-US"/>
        </w:rPr>
        <w:t>SigStrength</w:t>
      </w:r>
      <w:r>
        <w:rPr>
          <w:sz w:val="24"/>
        </w:rPr>
        <w:t xml:space="preserve">) </w:t>
      </w:r>
      <w:bookmarkStart w:id="10" w:name="__DdeLink__511_2779228595"/>
      <w:r>
        <w:rPr>
          <w:sz w:val="24"/>
        </w:rPr>
        <w:t>каждого спутника</w:t>
      </w:r>
      <w:bookmarkEnd w:id="10"/>
      <w:r>
        <w:rPr>
          <w:sz w:val="24"/>
        </w:rPr>
        <w:t xml:space="preserve"> снизился значительно на всех частотах.</w:t>
      </w:r>
    </w:p>
    <w:p>
      <w:pPr>
        <w:pStyle w:val="Normal"/>
        <w:spacing w:lineRule="auto" w:line="276"/>
        <w:ind w:left="0" w:right="0" w:hanging="0"/>
        <w:rPr>
          <w:sz w:val="24"/>
        </w:rPr>
      </w:pPr>
      <w:r>
        <w:rPr>
          <w:sz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-499110</wp:posOffset>
            </wp:positionH>
            <wp:positionV relativeFrom="paragraph">
              <wp:posOffset>97155</wp:posOffset>
            </wp:positionV>
            <wp:extent cx="6579870" cy="4610735"/>
            <wp:effectExtent l="0" t="0" r="0" b="0"/>
            <wp:wrapSquare wrapText="largest"/>
            <wp:docPr id="15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539" t="7480" r="8720" b="4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87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ind w:left="0" w:right="0" w:hanging="0"/>
        <w:jc w:val="center"/>
        <w:rPr>
          <w:sz w:val="24"/>
        </w:rPr>
      </w:pPr>
      <w:r>
        <w:rPr>
          <w:sz w:val="24"/>
        </w:rPr>
        <w:t>Рисунок А.7 – Уровень сигнала по всем спутникам</w:t>
      </w:r>
    </w:p>
    <w:sectPr>
      <w:footerReference w:type="default" r:id="rId11"/>
      <w:type w:val="nextPage"/>
      <w:pgSz w:w="11906" w:h="16838"/>
      <w:pgMar w:left="1701" w:right="567" w:gutter="0" w:header="0" w:top="1134" w:footer="283" w:bottom="1134"/>
      <w:pgNumType w:start="20" w:fmt="decimal"/>
      <w:formProt w:val="false"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58"/>
      <w:jc w:val="right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sz w:val="24"/>
        <w:szCs w:val="24"/>
      </w:rPr>
      <w:instrText xml:space="preserve"> PAGE </w:instrText>
    </w:r>
    <w:r>
      <w:rPr>
        <w:sz w:val="24"/>
        <w:szCs w:val="24"/>
      </w:rPr>
      <w:fldChar w:fldCharType="separate"/>
    </w:r>
    <w:r>
      <w:rPr>
        <w:sz w:val="24"/>
        <w:szCs w:val="24"/>
      </w:rPr>
      <w:t>24</w:t>
    </w:r>
    <w:r>
      <w:rPr>
        <w:sz w:val="24"/>
        <w:szCs w:val="24"/>
      </w:rP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0" w:hanging="0"/>
      </w:pPr>
      <w:rPr>
        <w:sz w:val="28"/>
        <w:i w:val="false"/>
        <w:b/>
        <w:rFonts w:ascii="Times New Roman" w:hAnsi="Times New Roman"/>
      </w:r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0" w:hanging="0"/>
      </w:pPr>
      <w:rPr>
        <w:sz w:val="28"/>
        <w:i w:val="false"/>
        <w:b/>
        <w:rFonts w:ascii="Times New Roman" w:hAnsi="Times New Roman"/>
      </w:r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hanging="0"/>
      </w:pPr>
      <w:rPr>
        <w:smallCaps w:val="false"/>
        <w:caps w:val="false"/>
        <w:dstrike w:val="false"/>
        <w:strike w:val="false"/>
        <w:vertAlign w:val="baseline"/>
        <w:position w:val="0"/>
        <w:sz w:val="28"/>
        <w:sz w:val="28"/>
        <w:spacing w:val="0"/>
        <w:i w:val="false"/>
        <w:u w:val="none"/>
        <w:b/>
        <w:kern w:val="0"/>
        <w:effect w:val="none"/>
        <w:iCs w:val="false"/>
        <w:bCs w:val="false"/>
        <w:em w:val="none"/>
        <w:vanish w:val="false"/>
        <w:rFonts w:ascii="Times New Roman" w:hAnsi="Times New Roman"/>
        <w:color w:val="000000"/>
      </w:r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0" w:firstLine="709"/>
      </w:pPr>
      <w:rPr>
        <w:sz w:val="28"/>
        <w:i w:val="false"/>
        <w:b/>
      </w:r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0" w:firstLine="709"/>
      </w:pPr>
      <w:rPr/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709"/>
      </w:pPr>
      <w:rPr/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709"/>
      </w:pPr>
      <w:rPr/>
    </w:lvl>
    <w:lvl w:ilvl="4">
      <w:start w:val="1"/>
      <w:numFmt w:val="decimal"/>
      <w:suff w:val="space"/>
      <w:lvlText w:val="%1.%2.%3.%4.%5"/>
      <w:lvlJc w:val="left"/>
      <w:pPr>
        <w:tabs>
          <w:tab w:val="num" w:pos="0"/>
        </w:tabs>
        <w:ind w:left="0" w:firstLine="709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709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709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709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709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360" w:before="0" w:after="0"/>
      <w:ind w:left="0" w:right="0" w:firstLine="709"/>
      <w:jc w:val="both"/>
    </w:pPr>
    <w:rPr>
      <w:rFonts w:ascii="Times New Roman" w:hAnsi="Times New Roman" w:eastAsia="Calibri" w:cs="DejaVu Sans"/>
      <w:color w:val="auto"/>
      <w:kern w:val="0"/>
      <w:sz w:val="28"/>
      <w:szCs w:val="22"/>
      <w:lang w:val="ru-RU" w:eastAsia="en-US" w:bidi="ar-SA"/>
    </w:rPr>
  </w:style>
  <w:style w:type="paragraph" w:styleId="1">
    <w:name w:val="Heading 1"/>
    <w:basedOn w:val="Normal"/>
    <w:next w:val="Normal"/>
    <w:link w:val="11"/>
    <w:qFormat/>
    <w:pPr>
      <w:keepNext w:val="true"/>
      <w:keepLines/>
      <w:pageBreakBefore/>
      <w:numPr>
        <w:ilvl w:val="0"/>
        <w:numId w:val="2"/>
      </w:numPr>
      <w:suppressAutoHyphens w:val="true"/>
      <w:outlineLvl w:val="0"/>
    </w:pPr>
    <w:rPr>
      <w:rFonts w:eastAsia="Calibri" w:cs="DejaVu Sans"/>
      <w:b/>
      <w:color w:val="000000"/>
      <w:szCs w:val="32"/>
    </w:rPr>
  </w:style>
  <w:style w:type="paragraph" w:styleId="2">
    <w:name w:val="Heading 2"/>
    <w:basedOn w:val="Normal"/>
    <w:next w:val="Normal"/>
    <w:link w:val="21"/>
    <w:qFormat/>
    <w:pPr>
      <w:keepNext w:val="true"/>
      <w:keepLines/>
      <w:numPr>
        <w:ilvl w:val="1"/>
        <w:numId w:val="2"/>
      </w:numPr>
      <w:suppressAutoHyphens w:val="true"/>
      <w:outlineLvl w:val="1"/>
    </w:pPr>
    <w:rPr>
      <w:rFonts w:eastAsia="Calibri" w:cs="DejaVu Sans"/>
      <w:b/>
      <w:color w:val="000000"/>
      <w:szCs w:val="26"/>
    </w:rPr>
  </w:style>
  <w:style w:type="paragraph" w:styleId="3">
    <w:name w:val="Heading 3"/>
    <w:basedOn w:val="Normal"/>
    <w:next w:val="Normal"/>
    <w:link w:val="31"/>
    <w:qFormat/>
    <w:pPr>
      <w:keepNext w:val="true"/>
      <w:keepLines/>
      <w:numPr>
        <w:ilvl w:val="2"/>
        <w:numId w:val="2"/>
      </w:numPr>
      <w:suppressAutoHyphens w:val="true"/>
      <w:outlineLvl w:val="2"/>
    </w:pPr>
    <w:rPr>
      <w:rFonts w:eastAsia="Calibri" w:cs="DejaVu Sans"/>
      <w:b/>
      <w:color w:val="000000"/>
      <w:szCs w:val="24"/>
    </w:rPr>
  </w:style>
  <w:style w:type="paragraph" w:styleId="4">
    <w:name w:val="Heading 4"/>
    <w:basedOn w:val="3"/>
    <w:next w:val="Normal"/>
    <w:link w:val="41"/>
    <w:qFormat/>
    <w:pPr>
      <w:outlineLvl w:val="3"/>
    </w:pPr>
    <w:rPr>
      <w:iCs/>
    </w:rPr>
  </w:style>
  <w:style w:type="paragraph" w:styleId="5">
    <w:name w:val="Heading 5"/>
    <w:basedOn w:val="Normal"/>
    <w:next w:val="Normal"/>
    <w:link w:val="51"/>
    <w:qFormat/>
    <w:pPr>
      <w:keepNext w:val="true"/>
      <w:keepLines/>
      <w:numPr>
        <w:ilvl w:val="4"/>
        <w:numId w:val="1"/>
      </w:numPr>
      <w:suppressAutoHyphens w:val="true"/>
      <w:ind w:left="0" w:right="0" w:firstLine="709"/>
      <w:outlineLvl w:val="4"/>
    </w:pPr>
    <w:rPr>
      <w:rFonts w:eastAsia="Calibri" w:cs="DejaVu Sans"/>
      <w:b/>
      <w:color w:val="000000"/>
    </w:rPr>
  </w:style>
  <w:style w:type="character" w:styleId="DefaultParagraphFont">
    <w:name w:val="Default Paragraph Font"/>
    <w:qFormat/>
    <w:rPr/>
  </w:style>
  <w:style w:type="character" w:styleId="Style9">
    <w:name w:val="Подрисуночная подпись Знак"/>
    <w:basedOn w:val="DefaultParagraphFont"/>
    <w:link w:val="Style36"/>
    <w:qFormat/>
    <w:rPr>
      <w:rFonts w:ascii="Times New Roman" w:hAnsi="Times New Roman"/>
      <w:sz w:val="28"/>
    </w:rPr>
  </w:style>
  <w:style w:type="character" w:styleId="Style10">
    <w:name w:val="Структурный элемент Знак"/>
    <w:basedOn w:val="11"/>
    <w:link w:val="Style37"/>
    <w:qFormat/>
    <w:rPr>
      <w:rFonts w:ascii="Times New Roman" w:hAnsi="Times New Roman" w:eastAsia="Calibri" w:cs="DejaVu Sans"/>
      <w:b/>
      <w:caps/>
      <w:color w:val="000000"/>
      <w:sz w:val="28"/>
      <w:szCs w:val="32"/>
    </w:rPr>
  </w:style>
  <w:style w:type="character" w:styleId="11">
    <w:name w:val="Заголовок 1 Знак"/>
    <w:basedOn w:val="DefaultParagraphFont"/>
    <w:qFormat/>
    <w:rPr>
      <w:rFonts w:ascii="Times New Roman" w:hAnsi="Times New Roman" w:eastAsia="Calibri" w:cs="DejaVu Sans"/>
      <w:b/>
      <w:color w:val="000000"/>
      <w:sz w:val="28"/>
      <w:szCs w:val="32"/>
    </w:rPr>
  </w:style>
  <w:style w:type="character" w:styleId="Style11">
    <w:name w:val="Таблица (Заг. столбца) Знак"/>
    <w:basedOn w:val="DefaultParagraphFont"/>
    <w:link w:val="Style38"/>
    <w:qFormat/>
    <w:rPr>
      <w:rFonts w:ascii="Times New Roman" w:hAnsi="Times New Roman"/>
      <w:sz w:val="24"/>
    </w:rPr>
  </w:style>
  <w:style w:type="character" w:styleId="Style12">
    <w:name w:val="Таблица (Заг. строк) Знак"/>
    <w:basedOn w:val="Style11"/>
    <w:link w:val="Style39"/>
    <w:qFormat/>
    <w:rPr>
      <w:rFonts w:ascii="Times New Roman" w:hAnsi="Times New Roman"/>
      <w:sz w:val="24"/>
    </w:rPr>
  </w:style>
  <w:style w:type="character" w:styleId="Style13">
    <w:name w:val="Таблица (текст) Знак"/>
    <w:basedOn w:val="DefaultParagraphFont"/>
    <w:link w:val="Style40"/>
    <w:qFormat/>
    <w:rPr>
      <w:rFonts w:ascii="Times New Roman" w:hAnsi="Times New Roman"/>
      <w:sz w:val="24"/>
    </w:rPr>
  </w:style>
  <w:style w:type="character" w:styleId="Style14">
    <w:name w:val="Табличная надпись Знак"/>
    <w:basedOn w:val="DefaultParagraphFont"/>
    <w:link w:val="Style41"/>
    <w:qFormat/>
    <w:rPr>
      <w:rFonts w:ascii="Times New Roman" w:hAnsi="Times New Roman"/>
      <w:sz w:val="28"/>
    </w:rPr>
  </w:style>
  <w:style w:type="character" w:styleId="Style15">
    <w:name w:val="Иллюстрация Знак"/>
    <w:basedOn w:val="DefaultParagraphFont"/>
    <w:link w:val="Style42"/>
    <w:qFormat/>
    <w:rPr>
      <w:rFonts w:ascii="Times New Roman" w:hAnsi="Times New Roman"/>
      <w:sz w:val="28"/>
      <w:lang w:eastAsia="ru-RU"/>
    </w:rPr>
  </w:style>
  <w:style w:type="character" w:styleId="Style16">
    <w:name w:val="Табличный шрифт Знак"/>
    <w:basedOn w:val="DefaultParagraphFont"/>
    <w:link w:val="Style43"/>
    <w:qFormat/>
    <w:rPr>
      <w:rFonts w:ascii="Times New Roman" w:hAnsi="Times New Roman"/>
      <w:sz w:val="24"/>
    </w:rPr>
  </w:style>
  <w:style w:type="character" w:styleId="Style17">
    <w:name w:val="Формула Знак"/>
    <w:basedOn w:val="DefaultParagraphFont"/>
    <w:link w:val="Style44"/>
    <w:qFormat/>
    <w:rPr>
      <w:rFonts w:ascii="Times New Roman" w:hAnsi="Times New Roman"/>
      <w:sz w:val="28"/>
    </w:rPr>
  </w:style>
  <w:style w:type="character" w:styleId="21">
    <w:name w:val="Заголовок 2 Знак"/>
    <w:basedOn w:val="DefaultParagraphFont"/>
    <w:qFormat/>
    <w:rPr>
      <w:rFonts w:ascii="Times New Roman" w:hAnsi="Times New Roman" w:eastAsia="Calibri" w:cs="DejaVu Sans"/>
      <w:b/>
      <w:color w:val="000000"/>
      <w:sz w:val="28"/>
      <w:szCs w:val="26"/>
    </w:rPr>
  </w:style>
  <w:style w:type="character" w:styleId="31">
    <w:name w:val="Заголовок 3 Знак"/>
    <w:basedOn w:val="DefaultParagraphFont"/>
    <w:qFormat/>
    <w:rPr>
      <w:rFonts w:ascii="Times New Roman" w:hAnsi="Times New Roman" w:eastAsia="Calibri" w:cs="DejaVu Sans"/>
      <w:b/>
      <w:color w:val="000000"/>
      <w:sz w:val="28"/>
      <w:szCs w:val="24"/>
    </w:rPr>
  </w:style>
  <w:style w:type="character" w:styleId="Style18">
    <w:name w:val="Заг. не в содержание Знак"/>
    <w:basedOn w:val="DefaultParagraphFont"/>
    <w:link w:val="Style45"/>
    <w:qFormat/>
    <w:rPr>
      <w:rFonts w:ascii="Times New Roman" w:hAnsi="Times New Roman"/>
      <w:b/>
      <w:caps/>
      <w:sz w:val="28"/>
    </w:rPr>
  </w:style>
  <w:style w:type="character" w:styleId="41">
    <w:name w:val="Заголовок 4 Знак"/>
    <w:basedOn w:val="DefaultParagraphFont"/>
    <w:qFormat/>
    <w:rPr>
      <w:rFonts w:ascii="Times New Roman" w:hAnsi="Times New Roman" w:eastAsia="Calibri" w:cs="DejaVu Sans"/>
      <w:b/>
      <w:iCs/>
      <w:color w:val="000000"/>
      <w:sz w:val="28"/>
      <w:szCs w:val="24"/>
    </w:rPr>
  </w:style>
  <w:style w:type="character" w:styleId="Style19">
    <w:name w:val="Список источников Знак"/>
    <w:basedOn w:val="DefaultParagraphFont"/>
    <w:link w:val="Style46"/>
    <w:qFormat/>
    <w:rPr>
      <w:rFonts w:ascii="Times New Roman" w:hAnsi="Times New Roman"/>
      <w:sz w:val="28"/>
    </w:rPr>
  </w:style>
  <w:style w:type="character" w:styleId="51">
    <w:name w:val="Заголовок 5 Знак"/>
    <w:basedOn w:val="DefaultParagraphFont"/>
    <w:qFormat/>
    <w:rPr>
      <w:rFonts w:ascii="Times New Roman" w:hAnsi="Times New Roman" w:eastAsia="Calibri" w:cs="DejaVu Sans"/>
      <w:b/>
      <w:color w:val="000000"/>
      <w:sz w:val="28"/>
    </w:rPr>
  </w:style>
  <w:style w:type="character" w:styleId="Style20">
    <w:name w:val="Редакция Знак"/>
    <w:basedOn w:val="DefaultParagraphFont"/>
    <w:link w:val="Style47"/>
    <w:qFormat/>
    <w:rPr>
      <w:rFonts w:ascii="Times New Roman" w:hAnsi="Times New Roman" w:cs="Times New Roman"/>
      <w:b/>
      <w:i/>
      <w:color w:val="C00000"/>
      <w:sz w:val="24"/>
    </w:rPr>
  </w:style>
  <w:style w:type="character" w:styleId="Style21">
    <w:name w:val="Табл.формул Знак"/>
    <w:basedOn w:val="DefaultParagraphFont"/>
    <w:link w:val="Style48"/>
    <w:qFormat/>
    <w:rPr>
      <w:rFonts w:ascii="Times New Roman" w:hAnsi="Times New Roman" w:eastAsia="Calibri"/>
      <w:sz w:val="28"/>
    </w:rPr>
  </w:style>
  <w:style w:type="character" w:styleId="Style22">
    <w:name w:val="ТаблСтлбЗаг Знак"/>
    <w:basedOn w:val="DefaultParagraphFont"/>
    <w:link w:val="Style49"/>
    <w:qFormat/>
    <w:rPr>
      <w:rFonts w:ascii="Times New Roman" w:hAnsi="Times New Roman"/>
      <w:sz w:val="24"/>
    </w:rPr>
  </w:style>
  <w:style w:type="character" w:styleId="Style23">
    <w:name w:val="ТаблОбщЦ Знак"/>
    <w:basedOn w:val="DefaultParagraphFont"/>
    <w:link w:val="Style50"/>
    <w:qFormat/>
    <w:rPr>
      <w:rFonts w:ascii="Times New Roman" w:hAnsi="Times New Roman"/>
      <w:sz w:val="24"/>
    </w:rPr>
  </w:style>
  <w:style w:type="character" w:styleId="Style24">
    <w:name w:val="ТаблНадпись Знак"/>
    <w:basedOn w:val="DefaultParagraphFont"/>
    <w:link w:val="Style51"/>
    <w:qFormat/>
    <w:rPr>
      <w:rFonts w:ascii="Times New Roman" w:hAnsi="Times New Roman"/>
      <w:sz w:val="28"/>
    </w:rPr>
  </w:style>
  <w:style w:type="character" w:styleId="Style25">
    <w:name w:val="ТаблОбщЛев Знак"/>
    <w:basedOn w:val="DefaultParagraphFont"/>
    <w:link w:val="Style52"/>
    <w:qFormat/>
    <w:rPr>
      <w:rFonts w:ascii="Times New Roman" w:hAnsi="Times New Roman"/>
      <w:sz w:val="24"/>
    </w:rPr>
  </w:style>
  <w:style w:type="character" w:styleId="Style26">
    <w:name w:val="ТаблСтрЗаг Знак"/>
    <w:basedOn w:val="Style22"/>
    <w:link w:val="Style53"/>
    <w:qFormat/>
    <w:rPr>
      <w:rFonts w:ascii="Times New Roman" w:hAnsi="Times New Roman"/>
      <w:sz w:val="24"/>
    </w:rPr>
  </w:style>
  <w:style w:type="character" w:styleId="Style27">
    <w:name w:val="Заголовок второго уровня Знак"/>
    <w:basedOn w:val="DefaultParagraphFont"/>
    <w:link w:val="Style54"/>
    <w:qFormat/>
    <w:rPr>
      <w:rFonts w:ascii="Times New Roman" w:hAnsi="Times New Roman" w:cs="Times New Roman"/>
      <w:b/>
      <w:sz w:val="28"/>
      <w:szCs w:val="28"/>
    </w:rPr>
  </w:style>
  <w:style w:type="character" w:styleId="Style28">
    <w:name w:val="Исполнители Знак"/>
    <w:basedOn w:val="Style23"/>
    <w:link w:val="Style55"/>
    <w:qFormat/>
    <w:rPr>
      <w:rFonts w:ascii="Times New Roman" w:hAnsi="Times New Roman"/>
      <w:sz w:val="28"/>
    </w:rPr>
  </w:style>
  <w:style w:type="character" w:styleId="Style29">
    <w:name w:val="Верхний колонтитул Знак"/>
    <w:basedOn w:val="DefaultParagraphFont"/>
    <w:qFormat/>
    <w:rPr>
      <w:rFonts w:ascii="Times New Roman" w:hAnsi="Times New Roman"/>
      <w:sz w:val="28"/>
    </w:rPr>
  </w:style>
  <w:style w:type="character" w:styleId="Style30">
    <w:name w:val="Нижний колонтитул Знак"/>
    <w:basedOn w:val="DefaultParagraphFont"/>
    <w:qFormat/>
    <w:rPr>
      <w:rFonts w:ascii="Times New Roman" w:hAnsi="Times New Roman"/>
      <w:sz w:val="28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paragraph" w:styleId="Style31">
    <w:name w:val="Заголовок"/>
    <w:basedOn w:val="Normal"/>
    <w:next w:val="Style32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32">
    <w:name w:val="Body Text"/>
    <w:basedOn w:val="Normal"/>
    <w:pPr>
      <w:spacing w:lineRule="auto" w:line="276" w:before="0" w:after="140"/>
    </w:pPr>
    <w:rPr/>
  </w:style>
  <w:style w:type="paragraph" w:styleId="Style33">
    <w:name w:val="List"/>
    <w:basedOn w:val="Style32"/>
    <w:pPr/>
    <w:rPr>
      <w:rFonts w:cs="Lohit Devanagari"/>
    </w:rPr>
  </w:style>
  <w:style w:type="paragraph" w:styleId="Style34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35">
    <w:name w:val="Указатель"/>
    <w:basedOn w:val="Normal"/>
    <w:qFormat/>
    <w:pPr>
      <w:suppressLineNumbers/>
    </w:pPr>
    <w:rPr>
      <w:rFonts w:cs="Lohit Devanagari"/>
    </w:rPr>
  </w:style>
  <w:style w:type="paragraph" w:styleId="12">
    <w:name w:val="TOC 1"/>
    <w:basedOn w:val="Normal"/>
    <w:next w:val="Normal"/>
    <w:pPr>
      <w:tabs>
        <w:tab w:val="clear" w:pos="708"/>
        <w:tab w:val="left" w:pos="1100" w:leader="none"/>
        <w:tab w:val="right" w:pos="9344" w:leader="dot"/>
      </w:tabs>
      <w:ind w:left="0" w:right="0" w:hanging="0"/>
      <w:jc w:val="left"/>
    </w:pPr>
    <w:rPr>
      <w:color w:val="000000"/>
    </w:rPr>
  </w:style>
  <w:style w:type="paragraph" w:styleId="22">
    <w:name w:val="TOC 2"/>
    <w:basedOn w:val="Normal"/>
    <w:next w:val="Normal"/>
    <w:pPr>
      <w:ind w:left="284" w:right="0" w:hanging="0"/>
      <w:jc w:val="left"/>
    </w:pPr>
    <w:rPr/>
  </w:style>
  <w:style w:type="paragraph" w:styleId="32">
    <w:name w:val="TOC 3"/>
    <w:basedOn w:val="Normal"/>
    <w:next w:val="Normal"/>
    <w:pPr>
      <w:ind w:left="567" w:right="0" w:hanging="0"/>
      <w:jc w:val="left"/>
    </w:pPr>
    <w:rPr/>
  </w:style>
  <w:style w:type="paragraph" w:styleId="Style36">
    <w:name w:val="Подрисуночная подпись"/>
    <w:basedOn w:val="Normal"/>
    <w:next w:val="Normal"/>
    <w:link w:val="Style9"/>
    <w:qFormat/>
    <w:pPr>
      <w:suppressAutoHyphens w:val="true"/>
      <w:spacing w:lineRule="auto" w:line="240" w:before="0" w:after="120"/>
      <w:ind w:left="0" w:right="0" w:hanging="0"/>
      <w:jc w:val="center"/>
    </w:pPr>
    <w:rPr/>
  </w:style>
  <w:style w:type="paragraph" w:styleId="Style37">
    <w:name w:val="Структурный элемент"/>
    <w:basedOn w:val="1"/>
    <w:next w:val="Normal"/>
    <w:link w:val="Style10"/>
    <w:qFormat/>
    <w:pPr>
      <w:numPr>
        <w:ilvl w:val="0"/>
        <w:numId w:val="0"/>
      </w:numPr>
      <w:ind w:left="0" w:right="0" w:firstLine="709"/>
      <w:jc w:val="center"/>
    </w:pPr>
    <w:rPr>
      <w:caps/>
    </w:rPr>
  </w:style>
  <w:style w:type="paragraph" w:styleId="Style38">
    <w:name w:val="Таблица (Заг. столбца)"/>
    <w:basedOn w:val="Normal"/>
    <w:link w:val="Style11"/>
    <w:qFormat/>
    <w:pPr>
      <w:spacing w:lineRule="auto" w:line="276"/>
      <w:ind w:left="0" w:right="0" w:hanging="0"/>
      <w:jc w:val="center"/>
    </w:pPr>
    <w:rPr>
      <w:sz w:val="24"/>
    </w:rPr>
  </w:style>
  <w:style w:type="paragraph" w:styleId="Style39">
    <w:name w:val="Таблица (Заг. строк)"/>
    <w:basedOn w:val="Style38"/>
    <w:link w:val="Style12"/>
    <w:qFormat/>
    <w:pPr>
      <w:jc w:val="left"/>
    </w:pPr>
    <w:rPr/>
  </w:style>
  <w:style w:type="paragraph" w:styleId="Style40">
    <w:name w:val="Таблица (текст)"/>
    <w:basedOn w:val="Normal"/>
    <w:link w:val="Style13"/>
    <w:qFormat/>
    <w:pPr>
      <w:spacing w:lineRule="auto" w:line="276"/>
      <w:ind w:left="0" w:right="0" w:hanging="0"/>
    </w:pPr>
    <w:rPr>
      <w:sz w:val="24"/>
    </w:rPr>
  </w:style>
  <w:style w:type="paragraph" w:styleId="Style41">
    <w:name w:val="Табличная надпись"/>
    <w:basedOn w:val="Normal"/>
    <w:next w:val="Normal"/>
    <w:link w:val="Style14"/>
    <w:autoRedefine/>
    <w:qFormat/>
    <w:pPr>
      <w:keepNext w:val="true"/>
      <w:spacing w:lineRule="auto" w:line="240" w:before="0" w:after="120"/>
      <w:ind w:left="0" w:right="0" w:hanging="0"/>
    </w:pPr>
    <w:rPr/>
  </w:style>
  <w:style w:type="paragraph" w:styleId="Style42">
    <w:name w:val="Иллюстрация"/>
    <w:basedOn w:val="Normal"/>
    <w:next w:val="Normal"/>
    <w:link w:val="Style15"/>
    <w:qFormat/>
    <w:pPr>
      <w:keepNext w:val="true"/>
      <w:spacing w:lineRule="auto" w:line="240"/>
      <w:ind w:left="0" w:right="0" w:hanging="0"/>
      <w:jc w:val="center"/>
    </w:pPr>
    <w:rPr>
      <w:lang w:eastAsia="ru-RU"/>
    </w:rPr>
  </w:style>
  <w:style w:type="paragraph" w:styleId="Style43">
    <w:name w:val="Табличный шрифт"/>
    <w:basedOn w:val="Normal"/>
    <w:next w:val="Normal"/>
    <w:link w:val="Style16"/>
    <w:autoRedefine/>
    <w:qFormat/>
    <w:pPr>
      <w:spacing w:lineRule="auto" w:line="240"/>
      <w:ind w:left="0" w:right="0" w:hanging="0"/>
      <w:jc w:val="center"/>
    </w:pPr>
    <w:rPr>
      <w:sz w:val="24"/>
    </w:rPr>
  </w:style>
  <w:style w:type="paragraph" w:styleId="Style44">
    <w:name w:val="Формула"/>
    <w:basedOn w:val="Normal"/>
    <w:next w:val="Normal"/>
    <w:link w:val="Style17"/>
    <w:autoRedefine/>
    <w:qFormat/>
    <w:pPr>
      <w:spacing w:before="360" w:after="360"/>
      <w:ind w:left="0" w:right="0" w:hanging="0"/>
      <w:jc w:val="right"/>
    </w:pPr>
    <w:rPr/>
  </w:style>
  <w:style w:type="paragraph" w:styleId="Style45">
    <w:name w:val="Заг. не в содержание"/>
    <w:basedOn w:val="Normal"/>
    <w:next w:val="Normal"/>
    <w:link w:val="Style18"/>
    <w:qFormat/>
    <w:pPr>
      <w:pageBreakBefore/>
      <w:ind w:left="0" w:right="0" w:hanging="0"/>
      <w:jc w:val="center"/>
    </w:pPr>
    <w:rPr>
      <w:b/>
      <w:caps/>
    </w:rPr>
  </w:style>
  <w:style w:type="paragraph" w:styleId="Style46">
    <w:name w:val="Список источников"/>
    <w:basedOn w:val="Normal"/>
    <w:link w:val="Style19"/>
    <w:autoRedefine/>
    <w:qFormat/>
    <w:pPr/>
    <w:rPr/>
  </w:style>
  <w:style w:type="paragraph" w:styleId="42">
    <w:name w:val="TOC 4"/>
    <w:basedOn w:val="Normal"/>
    <w:next w:val="Normal"/>
    <w:pPr>
      <w:ind w:left="567" w:right="0" w:hanging="0"/>
      <w:jc w:val="left"/>
    </w:pPr>
    <w:rPr/>
  </w:style>
  <w:style w:type="paragraph" w:styleId="Caption">
    <w:name w:val="caption"/>
    <w:basedOn w:val="Normal"/>
    <w:next w:val="Normal"/>
    <w:qFormat/>
    <w:pPr>
      <w:spacing w:lineRule="auto" w:line="240" w:before="0" w:after="240"/>
      <w:ind w:left="0" w:right="0" w:hanging="0"/>
      <w:jc w:val="center"/>
    </w:pPr>
    <w:rPr>
      <w:iCs/>
      <w:color w:val="000000"/>
      <w:szCs w:val="18"/>
    </w:rPr>
  </w:style>
  <w:style w:type="paragraph" w:styleId="52">
    <w:name w:val="TOC 5"/>
    <w:basedOn w:val="Normal"/>
    <w:next w:val="Normal"/>
    <w:pPr>
      <w:ind w:left="567" w:right="0" w:hanging="0"/>
      <w:jc w:val="left"/>
    </w:pPr>
    <w:rPr/>
  </w:style>
  <w:style w:type="paragraph" w:styleId="Style47">
    <w:name w:val="Редакция"/>
    <w:basedOn w:val="Normal"/>
    <w:link w:val="Style20"/>
    <w:qFormat/>
    <w:pPr>
      <w:spacing w:lineRule="auto" w:line="240" w:before="240" w:after="240"/>
      <w:ind w:left="1134" w:right="0" w:hanging="0"/>
    </w:pPr>
    <w:rPr>
      <w:rFonts w:cs="Times New Roman"/>
      <w:b/>
      <w:i/>
      <w:color w:val="C00000"/>
      <w:sz w:val="24"/>
    </w:rPr>
  </w:style>
  <w:style w:type="paragraph" w:styleId="Style48">
    <w:name w:val="Табл.формул"/>
    <w:basedOn w:val="Normal"/>
    <w:link w:val="Style21"/>
    <w:qFormat/>
    <w:pPr>
      <w:jc w:val="right"/>
    </w:pPr>
    <w:rPr>
      <w:rFonts w:eastAsia="Calibri"/>
    </w:rPr>
  </w:style>
  <w:style w:type="paragraph" w:styleId="Style49">
    <w:name w:val="ТаблСтлбЗаг"/>
    <w:basedOn w:val="Normal"/>
    <w:link w:val="Style22"/>
    <w:qFormat/>
    <w:pPr>
      <w:spacing w:lineRule="auto" w:line="240"/>
      <w:ind w:left="0" w:right="0" w:hanging="0"/>
      <w:jc w:val="center"/>
    </w:pPr>
    <w:rPr>
      <w:sz w:val="24"/>
    </w:rPr>
  </w:style>
  <w:style w:type="paragraph" w:styleId="Style50">
    <w:name w:val="ТаблОбщЦ"/>
    <w:basedOn w:val="Normal"/>
    <w:next w:val="Normal"/>
    <w:link w:val="Style23"/>
    <w:qFormat/>
    <w:pPr>
      <w:spacing w:lineRule="auto" w:line="240"/>
      <w:ind w:left="0" w:right="0" w:hanging="0"/>
      <w:jc w:val="center"/>
    </w:pPr>
    <w:rPr>
      <w:sz w:val="24"/>
    </w:rPr>
  </w:style>
  <w:style w:type="paragraph" w:styleId="Style51">
    <w:name w:val="ТаблНадпись"/>
    <w:basedOn w:val="Normal"/>
    <w:next w:val="Normal"/>
    <w:link w:val="Style24"/>
    <w:qFormat/>
    <w:pPr>
      <w:keepNext w:val="true"/>
      <w:spacing w:lineRule="auto" w:line="240" w:before="0" w:after="120"/>
      <w:ind w:left="0" w:right="0" w:hanging="0"/>
    </w:pPr>
    <w:rPr/>
  </w:style>
  <w:style w:type="paragraph" w:styleId="Style52">
    <w:name w:val="ТаблОбщЛев"/>
    <w:basedOn w:val="Normal"/>
    <w:link w:val="Style25"/>
    <w:qFormat/>
    <w:pPr>
      <w:spacing w:lineRule="auto" w:line="240"/>
      <w:ind w:left="0" w:right="0" w:hanging="0"/>
    </w:pPr>
    <w:rPr>
      <w:sz w:val="24"/>
    </w:rPr>
  </w:style>
  <w:style w:type="paragraph" w:styleId="Style53">
    <w:name w:val="ТаблСтрЗаг"/>
    <w:basedOn w:val="Style49"/>
    <w:link w:val="Style26"/>
    <w:qFormat/>
    <w:pPr>
      <w:jc w:val="left"/>
    </w:pPr>
    <w:rPr/>
  </w:style>
  <w:style w:type="paragraph" w:styleId="Style54">
    <w:name w:val="Заголовок второго уровня"/>
    <w:basedOn w:val="Normal"/>
    <w:link w:val="Style27"/>
    <w:qFormat/>
    <w:pPr>
      <w:keepNext w:val="true"/>
      <w:suppressAutoHyphens w:val="true"/>
      <w:spacing w:lineRule="auto" w:line="240" w:before="720" w:after="720"/>
      <w:ind w:left="0" w:right="0" w:hanging="0"/>
      <w:jc w:val="left"/>
    </w:pPr>
    <w:rPr>
      <w:rFonts w:cs="Times New Roman"/>
      <w:b/>
      <w:szCs w:val="28"/>
    </w:rPr>
  </w:style>
  <w:style w:type="paragraph" w:styleId="Style55">
    <w:name w:val="Исполнители"/>
    <w:basedOn w:val="Style50"/>
    <w:link w:val="Style28"/>
    <w:qFormat/>
    <w:pPr/>
    <w:rPr>
      <w:sz w:val="28"/>
    </w:rPr>
  </w:style>
  <w:style w:type="paragraph" w:styleId="Style56">
    <w:name w:val="Колонтитул"/>
    <w:basedOn w:val="Normal"/>
    <w:qFormat/>
    <w:pPr/>
    <w:rPr/>
  </w:style>
  <w:style w:type="paragraph" w:styleId="Style57">
    <w:name w:val="Header"/>
    <w:basedOn w:val="Normal"/>
    <w:link w:val="Style29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Style58">
    <w:name w:val="Footer"/>
    <w:basedOn w:val="Normal"/>
    <w:link w:val="Style30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Style59">
    <w:name w:val="Содержимое врезки"/>
    <w:basedOn w:val="Normal"/>
    <w:qFormat/>
    <w:pPr/>
    <w:rPr/>
  </w:style>
  <w:style w:type="paragraph" w:styleId="Style60">
    <w:name w:val="Содержимое таблицы"/>
    <w:basedOn w:val="Normal"/>
    <w:qFormat/>
    <w:pPr>
      <w:widowControl w:val="false"/>
      <w:suppressLineNumbers/>
    </w:pPr>
    <w:rPr/>
  </w:style>
  <w:style w:type="paragraph" w:styleId="Style61">
    <w:name w:val="Заголовок таблицы"/>
    <w:basedOn w:val="Style60"/>
    <w:qFormat/>
    <w:pPr>
      <w:suppressLineNumbers/>
      <w:jc w:val="center"/>
    </w:pPr>
    <w:rPr>
      <w:b/>
      <w:bCs/>
    </w:rPr>
  </w:style>
  <w:style w:type="numbering" w:styleId="Style62">
    <w:name w:val="Список источников нум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Application>LibreOffice/7.3.7.2$Linux_X86_64 LibreOffice_project/30$Build-2</Application>
  <AppVersion>15.0000</AppVersion>
  <Pages>5</Pages>
  <Words>317</Words>
  <Characters>1938</Characters>
  <CharactersWithSpaces>2244</CharactersWithSpaces>
  <Paragraphs>26</Paragraphs>
  <Company>CNIIAG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2023-05-18T09:39:00Z</dcterms:created>
  <dc:creator>Izmaylov-Perkin A.V.</dc:creator>
  <dc:description/>
  <dc:language>ru-RU</dc:language>
  <cp:lastModifiedBy/>
  <dcterms:modified xsi:type="dcterms:W3CDTF">2024-05-08T13:07:55Z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