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DF4CE"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Lab 01 — The Price of One Request</w:t>
      </w:r>
    </w:p>
    <w:p w14:paraId="411554BC"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b/>
          <w:bCs/>
          <w:sz w:val="24"/>
          <w:szCs w:val="24"/>
        </w:rPr>
        <w:t>Provider used: Google Gemini (gemini-3.6-flash)</w:t>
      </w:r>
    </w:p>
    <w:p w14:paraId="6A60783A"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1. Prediction vs. Measured (COMPLAINT item)</w:t>
      </w:r>
    </w:p>
    <w:p w14:paraId="11F1314C"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b/>
          <w:bCs/>
          <w:sz w:val="24"/>
          <w:szCs w:val="24"/>
        </w:rPr>
        <w:t>Prediction (written before running Part 2):</w:t>
      </w:r>
      <w:r w:rsidRPr="00B24C8E">
        <w:rPr>
          <w:rFonts w:ascii="Times New Roman" w:hAnsi="Times New Roman" w:cs="Times New Roman"/>
          <w:sz w:val="24"/>
          <w:szCs w:val="24"/>
        </w:rPr>
        <w:t xml:space="preserve"> Based on the bytes/EN ratios from Part 1 (RU 1.92×, KK 2.13×), I predicted the token ratio would track byte length fairly closely, since Cyrillic characters take 2 bytes in UTF-8 against 1 for Latin — reasoning that a BPE tokenizer's cost should scale roughly with the number of bytes it has to encode.</w:t>
      </w:r>
    </w:p>
    <w:p w14:paraId="6CFCFD7C" w14:textId="77777777" w:rsidR="00191FCA" w:rsidRPr="00B24C8E" w:rsidRDefault="00191FCA" w:rsidP="00191FCA">
      <w:pPr>
        <w:numPr>
          <w:ilvl w:val="0"/>
          <w:numId w:val="1"/>
        </w:numPr>
        <w:rPr>
          <w:rFonts w:ascii="Times New Roman" w:hAnsi="Times New Roman" w:cs="Times New Roman"/>
          <w:sz w:val="24"/>
          <w:szCs w:val="24"/>
        </w:rPr>
      </w:pPr>
      <w:r w:rsidRPr="00B24C8E">
        <w:rPr>
          <w:rFonts w:ascii="Times New Roman" w:hAnsi="Times New Roman" w:cs="Times New Roman"/>
          <w:sz w:val="24"/>
          <w:szCs w:val="24"/>
        </w:rPr>
        <w:t xml:space="preserve">Predicted: </w:t>
      </w:r>
      <w:r w:rsidRPr="00B24C8E">
        <w:rPr>
          <w:rFonts w:ascii="Times New Roman" w:hAnsi="Times New Roman" w:cs="Times New Roman"/>
          <w:b/>
          <w:bCs/>
          <w:sz w:val="24"/>
          <w:szCs w:val="24"/>
        </w:rPr>
        <w:t>RU/EN ≈ 1.9×, KK/EN ≈ 2.1×</w:t>
      </w:r>
    </w:p>
    <w:p w14:paraId="409565D3"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b/>
          <w:bCs/>
          <w:sz w:val="24"/>
          <w:szCs w:val="24"/>
        </w:rPr>
        <w:t>Measured</w:t>
      </w:r>
      <w:r w:rsidRPr="00B24C8E">
        <w:rPr>
          <w:rFonts w:ascii="Times New Roman" w:hAnsi="Times New Roman" w:cs="Times New Roman"/>
          <w:sz w:val="24"/>
          <w:szCs w:val="24"/>
        </w:rPr>
        <w:t xml:space="preserve"> (Gemini gemini-3.6-flash, count_tokens on the COMPLAINT item alone): EN=60, RU=79, KK=149 tokens.</w:t>
      </w:r>
    </w:p>
    <w:p w14:paraId="3E701928" w14:textId="77777777" w:rsidR="00191FCA" w:rsidRPr="00B24C8E" w:rsidRDefault="00191FCA" w:rsidP="00191FCA">
      <w:pPr>
        <w:numPr>
          <w:ilvl w:val="0"/>
          <w:numId w:val="2"/>
        </w:numPr>
        <w:rPr>
          <w:rFonts w:ascii="Times New Roman" w:hAnsi="Times New Roman" w:cs="Times New Roman"/>
          <w:sz w:val="24"/>
          <w:szCs w:val="24"/>
        </w:rPr>
      </w:pPr>
      <w:r w:rsidRPr="00B24C8E">
        <w:rPr>
          <w:rFonts w:ascii="Times New Roman" w:hAnsi="Times New Roman" w:cs="Times New Roman"/>
          <w:sz w:val="24"/>
          <w:szCs w:val="24"/>
        </w:rPr>
        <w:t xml:space="preserve">Measured: </w:t>
      </w:r>
      <w:r w:rsidRPr="00B24C8E">
        <w:rPr>
          <w:rFonts w:ascii="Times New Roman" w:hAnsi="Times New Roman" w:cs="Times New Roman"/>
          <w:b/>
          <w:bCs/>
          <w:sz w:val="24"/>
          <w:szCs w:val="24"/>
        </w:rPr>
        <w:t>RU/EN = 1.32×, KK/EN = 2.48×</w:t>
      </w:r>
    </w:p>
    <w:p w14:paraId="6D81F4A3"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 xml:space="preserve">The prediction was wrong in both directions. Russian came in </w:t>
      </w:r>
      <w:r w:rsidRPr="00B24C8E">
        <w:rPr>
          <w:rFonts w:ascii="Times New Roman" w:hAnsi="Times New Roman" w:cs="Times New Roman"/>
          <w:i/>
          <w:iCs/>
          <w:sz w:val="24"/>
          <w:szCs w:val="24"/>
        </w:rPr>
        <w:t>cheaper</w:t>
      </w:r>
      <w:r w:rsidRPr="00B24C8E">
        <w:rPr>
          <w:rFonts w:ascii="Times New Roman" w:hAnsi="Times New Roman" w:cs="Times New Roman"/>
          <w:sz w:val="24"/>
          <w:szCs w:val="24"/>
        </w:rPr>
        <w:t xml:space="preserve"> than the byte ratio suggested (1.32× vs. 1.92× predicted) — Gemini's tokenizer compresses common Cyrillic sequences efficiently despite the byte overhead. Kazakh came in </w:t>
      </w:r>
      <w:r w:rsidRPr="00B24C8E">
        <w:rPr>
          <w:rFonts w:ascii="Times New Roman" w:hAnsi="Times New Roman" w:cs="Times New Roman"/>
          <w:i/>
          <w:iCs/>
          <w:sz w:val="24"/>
          <w:szCs w:val="24"/>
        </w:rPr>
        <w:t>more expensive</w:t>
      </w:r>
      <w:r w:rsidRPr="00B24C8E">
        <w:rPr>
          <w:rFonts w:ascii="Times New Roman" w:hAnsi="Times New Roman" w:cs="Times New Roman"/>
          <w:sz w:val="24"/>
          <w:szCs w:val="24"/>
        </w:rPr>
        <w:t xml:space="preserve"> than the byte ratio suggested (2.48× vs. 2.13× predicted) — bytes alone cannot see this, because Kazakh-specific letters (ә, ғ, қ, ң, ө, ұ, ү, һ, і) cost the same 2 bytes as ordinary Cyrillic letters but are under-represented in the tokenizer's merge table, so they get split into more, shorter tokens. The lesson: byte count is a proxy for encoding size, not for tokenizer efficiency — the two diverge exactly where a language's characters are rare in the tokenizer's training data.</w:t>
      </w:r>
    </w:p>
    <w:p w14:paraId="2D92FAA4"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2. Annual Cost Table</w:t>
      </w:r>
    </w:p>
    <w:p w14:paraId="7AA62EEE"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 xml:space="preserve">Volume: </w:t>
      </w:r>
      <w:r w:rsidRPr="00B24C8E">
        <w:rPr>
          <w:rFonts w:ascii="Times New Roman" w:hAnsi="Times New Roman" w:cs="Times New Roman"/>
          <w:b/>
          <w:bCs/>
          <w:sz w:val="24"/>
          <w:szCs w:val="24"/>
        </w:rPr>
        <w:t>2,000 requests/day</w:t>
      </w:r>
      <w:r w:rsidRPr="00B24C8E">
        <w:rPr>
          <w:rFonts w:ascii="Times New Roman" w:hAnsi="Times New Roman" w:cs="Times New Roman"/>
          <w:sz w:val="24"/>
          <w:szCs w:val="24"/>
        </w:rPr>
        <w:t>, chosen to represent a mid-size national bank's daily complaint-and-inquiry intake for a single support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740"/>
        <w:gridCol w:w="730"/>
        <w:gridCol w:w="745"/>
      </w:tblGrid>
      <w:tr w:rsidR="00191FCA" w:rsidRPr="00B24C8E" w14:paraId="1448770F" w14:textId="77777777" w:rsidTr="00191FCA">
        <w:trPr>
          <w:tblHeader/>
          <w:tblCellSpacing w:w="15" w:type="dxa"/>
        </w:trPr>
        <w:tc>
          <w:tcPr>
            <w:tcW w:w="0" w:type="auto"/>
            <w:tcBorders>
              <w:top w:val="single" w:sz="4" w:space="0" w:color="auto"/>
              <w:left w:val="single" w:sz="4" w:space="0" w:color="auto"/>
            </w:tcBorders>
            <w:vAlign w:val="center"/>
            <w:hideMark/>
          </w:tcPr>
          <w:p w14:paraId="546359FE"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Model</w:t>
            </w:r>
          </w:p>
        </w:tc>
        <w:tc>
          <w:tcPr>
            <w:tcW w:w="0" w:type="auto"/>
            <w:tcBorders>
              <w:top w:val="single" w:sz="4" w:space="0" w:color="auto"/>
              <w:left w:val="single" w:sz="4" w:space="0" w:color="auto"/>
              <w:right w:val="single" w:sz="4" w:space="0" w:color="auto"/>
            </w:tcBorders>
            <w:vAlign w:val="center"/>
            <w:hideMark/>
          </w:tcPr>
          <w:p w14:paraId="02805718"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EN</w:t>
            </w:r>
          </w:p>
        </w:tc>
        <w:tc>
          <w:tcPr>
            <w:tcW w:w="0" w:type="auto"/>
            <w:tcBorders>
              <w:top w:val="single" w:sz="4" w:space="0" w:color="auto"/>
              <w:right w:val="single" w:sz="4" w:space="0" w:color="auto"/>
            </w:tcBorders>
            <w:vAlign w:val="center"/>
            <w:hideMark/>
          </w:tcPr>
          <w:p w14:paraId="1099E3D3"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RU</w:t>
            </w:r>
          </w:p>
        </w:tc>
        <w:tc>
          <w:tcPr>
            <w:tcW w:w="0" w:type="auto"/>
            <w:tcBorders>
              <w:top w:val="single" w:sz="4" w:space="0" w:color="auto"/>
              <w:right w:val="single" w:sz="4" w:space="0" w:color="auto"/>
            </w:tcBorders>
            <w:vAlign w:val="center"/>
            <w:hideMark/>
          </w:tcPr>
          <w:p w14:paraId="7AC5E0A8"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KK</w:t>
            </w:r>
          </w:p>
        </w:tc>
      </w:tr>
      <w:tr w:rsidR="00191FCA" w:rsidRPr="00B24C8E" w14:paraId="776A409C" w14:textId="77777777" w:rsidTr="00191FCA">
        <w:trPr>
          <w:tblCellSpacing w:w="15" w:type="dxa"/>
        </w:trPr>
        <w:tc>
          <w:tcPr>
            <w:tcW w:w="0" w:type="auto"/>
            <w:tcBorders>
              <w:top w:val="single" w:sz="4" w:space="0" w:color="auto"/>
              <w:left w:val="single" w:sz="4" w:space="0" w:color="auto"/>
              <w:bottom w:val="single" w:sz="4" w:space="0" w:color="auto"/>
            </w:tcBorders>
            <w:vAlign w:val="center"/>
            <w:hideMark/>
          </w:tcPr>
          <w:p w14:paraId="3B0C2ED3"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gemini-2.5-flash</w:t>
            </w:r>
          </w:p>
        </w:tc>
        <w:tc>
          <w:tcPr>
            <w:tcW w:w="0" w:type="auto"/>
            <w:tcBorders>
              <w:top w:val="single" w:sz="4" w:space="0" w:color="auto"/>
              <w:left w:val="single" w:sz="4" w:space="0" w:color="auto"/>
              <w:bottom w:val="single" w:sz="4" w:space="0" w:color="auto"/>
              <w:right w:val="single" w:sz="4" w:space="0" w:color="auto"/>
            </w:tcBorders>
            <w:vAlign w:val="center"/>
            <w:hideMark/>
          </w:tcPr>
          <w:p w14:paraId="5D6D2D37"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$111</w:t>
            </w:r>
          </w:p>
        </w:tc>
        <w:tc>
          <w:tcPr>
            <w:tcW w:w="0" w:type="auto"/>
            <w:tcBorders>
              <w:top w:val="single" w:sz="4" w:space="0" w:color="auto"/>
              <w:bottom w:val="single" w:sz="4" w:space="0" w:color="auto"/>
              <w:right w:val="single" w:sz="4" w:space="0" w:color="auto"/>
            </w:tcBorders>
            <w:vAlign w:val="center"/>
            <w:hideMark/>
          </w:tcPr>
          <w:p w14:paraId="406C8BA5"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$155</w:t>
            </w:r>
          </w:p>
        </w:tc>
        <w:tc>
          <w:tcPr>
            <w:tcW w:w="0" w:type="auto"/>
            <w:tcBorders>
              <w:top w:val="single" w:sz="4" w:space="0" w:color="auto"/>
              <w:bottom w:val="single" w:sz="4" w:space="0" w:color="auto"/>
              <w:right w:val="single" w:sz="4" w:space="0" w:color="auto"/>
            </w:tcBorders>
            <w:vAlign w:val="center"/>
            <w:hideMark/>
          </w:tcPr>
          <w:p w14:paraId="1F360BAA"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$228</w:t>
            </w:r>
          </w:p>
        </w:tc>
      </w:tr>
      <w:tr w:rsidR="00191FCA" w:rsidRPr="00B24C8E" w14:paraId="232AAF83" w14:textId="77777777" w:rsidTr="00191FCA">
        <w:trPr>
          <w:tblCellSpacing w:w="15" w:type="dxa"/>
        </w:trPr>
        <w:tc>
          <w:tcPr>
            <w:tcW w:w="0" w:type="auto"/>
            <w:tcBorders>
              <w:left w:val="single" w:sz="4" w:space="0" w:color="auto"/>
            </w:tcBorders>
            <w:vAlign w:val="center"/>
            <w:hideMark/>
          </w:tcPr>
          <w:p w14:paraId="423DA84B"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b/>
                <w:bCs/>
                <w:sz w:val="24"/>
                <w:szCs w:val="24"/>
              </w:rPr>
              <w:t>gemini-3.6-flash</w:t>
            </w:r>
          </w:p>
        </w:tc>
        <w:tc>
          <w:tcPr>
            <w:tcW w:w="0" w:type="auto"/>
            <w:tcBorders>
              <w:left w:val="single" w:sz="4" w:space="0" w:color="auto"/>
              <w:right w:val="single" w:sz="4" w:space="0" w:color="auto"/>
            </w:tcBorders>
            <w:vAlign w:val="center"/>
            <w:hideMark/>
          </w:tcPr>
          <w:p w14:paraId="526E1665"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b/>
                <w:bCs/>
                <w:sz w:val="24"/>
                <w:szCs w:val="24"/>
              </w:rPr>
              <w:t>$1,372</w:t>
            </w:r>
          </w:p>
        </w:tc>
        <w:tc>
          <w:tcPr>
            <w:tcW w:w="0" w:type="auto"/>
            <w:tcBorders>
              <w:right w:val="single" w:sz="4" w:space="0" w:color="auto"/>
            </w:tcBorders>
            <w:vAlign w:val="center"/>
            <w:hideMark/>
          </w:tcPr>
          <w:p w14:paraId="645DEFAA"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b/>
                <w:bCs/>
                <w:sz w:val="24"/>
                <w:szCs w:val="24"/>
              </w:rPr>
              <w:t>$1,922</w:t>
            </w:r>
          </w:p>
        </w:tc>
        <w:tc>
          <w:tcPr>
            <w:tcW w:w="0" w:type="auto"/>
            <w:tcBorders>
              <w:right w:val="single" w:sz="4" w:space="0" w:color="auto"/>
            </w:tcBorders>
            <w:vAlign w:val="center"/>
            <w:hideMark/>
          </w:tcPr>
          <w:p w14:paraId="02C037D6"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b/>
                <w:bCs/>
                <w:sz w:val="24"/>
                <w:szCs w:val="24"/>
              </w:rPr>
              <w:t>$2,818</w:t>
            </w:r>
          </w:p>
        </w:tc>
      </w:tr>
      <w:tr w:rsidR="00191FCA" w:rsidRPr="00B24C8E" w14:paraId="1298EEF7" w14:textId="77777777" w:rsidTr="00191FCA">
        <w:trPr>
          <w:tblCellSpacing w:w="15" w:type="dxa"/>
        </w:trPr>
        <w:tc>
          <w:tcPr>
            <w:tcW w:w="0" w:type="auto"/>
            <w:tcBorders>
              <w:top w:val="single" w:sz="4" w:space="0" w:color="auto"/>
              <w:left w:val="single" w:sz="4" w:space="0" w:color="auto"/>
              <w:bottom w:val="single" w:sz="4" w:space="0" w:color="auto"/>
            </w:tcBorders>
            <w:vAlign w:val="center"/>
            <w:hideMark/>
          </w:tcPr>
          <w:p w14:paraId="379BF2DC"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gemini-2.5-pro</w:t>
            </w:r>
          </w:p>
        </w:tc>
        <w:tc>
          <w:tcPr>
            <w:tcW w:w="0" w:type="auto"/>
            <w:tcBorders>
              <w:top w:val="single" w:sz="4" w:space="0" w:color="auto"/>
              <w:left w:val="single" w:sz="4" w:space="0" w:color="auto"/>
              <w:bottom w:val="single" w:sz="4" w:space="0" w:color="auto"/>
              <w:right w:val="single" w:sz="4" w:space="0" w:color="auto"/>
            </w:tcBorders>
            <w:vAlign w:val="center"/>
            <w:hideMark/>
          </w:tcPr>
          <w:p w14:paraId="74C0AA3A"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$3,603</w:t>
            </w:r>
          </w:p>
        </w:tc>
        <w:tc>
          <w:tcPr>
            <w:tcW w:w="0" w:type="auto"/>
            <w:tcBorders>
              <w:top w:val="single" w:sz="4" w:space="0" w:color="auto"/>
              <w:bottom w:val="single" w:sz="4" w:space="0" w:color="auto"/>
              <w:right w:val="single" w:sz="4" w:space="0" w:color="auto"/>
            </w:tcBorders>
            <w:vAlign w:val="center"/>
            <w:hideMark/>
          </w:tcPr>
          <w:p w14:paraId="1E4F57C7"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$5,054</w:t>
            </w:r>
          </w:p>
        </w:tc>
        <w:tc>
          <w:tcPr>
            <w:tcW w:w="0" w:type="auto"/>
            <w:tcBorders>
              <w:top w:val="single" w:sz="4" w:space="0" w:color="auto"/>
              <w:bottom w:val="single" w:sz="4" w:space="0" w:color="auto"/>
              <w:right w:val="single" w:sz="4" w:space="0" w:color="auto"/>
            </w:tcBorders>
            <w:vAlign w:val="center"/>
            <w:hideMark/>
          </w:tcPr>
          <w:p w14:paraId="64E72590"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$7,385</w:t>
            </w:r>
          </w:p>
        </w:tc>
      </w:tr>
    </w:tbl>
    <w:p w14:paraId="1014318E"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3. Production Recommendation for a Kazakh-Language Queue</w:t>
      </w:r>
    </w:p>
    <w:p w14:paraId="71BDD46C"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b/>
          <w:bCs/>
          <w:sz w:val="24"/>
          <w:szCs w:val="24"/>
        </w:rPr>
        <w:t>Recommendation: gemini-3.6-flash.</w:t>
      </w:r>
      <w:r w:rsidRPr="00B24C8E">
        <w:rPr>
          <w:rFonts w:ascii="Times New Roman" w:hAnsi="Times New Roman" w:cs="Times New Roman"/>
          <w:sz w:val="24"/>
          <w:szCs w:val="24"/>
        </w:rPr>
        <w:t xml:space="preserve"> On cost, it sits between the retired gemini-2.5-flash tier and gemini-2.5-pro — roughly 2.6× cheaper than Pro at $2,818/year for the Kazakh queue at this volume. On quality, the model's actual generated answers (measured live, not assumed) correctly followed the system prompt's hardest constraint: when told the complaint references an attached contract that was never actually provided, the model declined to explain the rate change and asked for the missing documents instead of fabricating a plausible-sounding reason — in all three languages, including Kazakh. A cheaper-but-unreliable model that hallucinates an explanation would create real compliance risk in a banking context, so the mid-tier model's demonstrated policy-following behavior justifies its cost over the retired low-cost tier, without paying Pro's premium for a task that doesn't need Pro's extra reasoning depth.</w:t>
      </w:r>
    </w:p>
    <w:p w14:paraId="1A8B2A26"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4. An Unused Cost Lever</w:t>
      </w:r>
    </w:p>
    <w:p w14:paraId="67DCB178"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lastRenderedPageBreak/>
        <w:t>This lab's cost model never restricts answer length, even though output tokens are priced at exactly 5× the input rate on every model measured (e.g., gemini-3.6-flash: $0.75 in / $3.75 out) — capping responses to two or three sentences would cut the output side of the bill more per token saved than any input-side optimization this lab performs.</w:t>
      </w:r>
    </w:p>
    <w:p w14:paraId="1891353E" w14:textId="2FAB7565" w:rsidR="00191FCA" w:rsidRPr="00B24C8E" w:rsidRDefault="00191FCA" w:rsidP="00191FCA">
      <w:pPr>
        <w:rPr>
          <w:rFonts w:ascii="Times New Roman" w:hAnsi="Times New Roman" w:cs="Times New Roman"/>
          <w:sz w:val="24"/>
          <w:szCs w:val="24"/>
        </w:rPr>
      </w:pPr>
    </w:p>
    <w:p w14:paraId="15B44D8A"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Appendix: Part 0 and Part 1 (offline, no API key)</w:t>
      </w:r>
    </w:p>
    <w:p w14:paraId="410F5B95"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b/>
          <w:bCs/>
          <w:sz w:val="24"/>
          <w:szCs w:val="24"/>
        </w:rPr>
        <w:t>Part 0 (tiktoken, complaint item, tokens):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04"/>
        <w:gridCol w:w="1216"/>
        <w:gridCol w:w="1221"/>
      </w:tblGrid>
      <w:tr w:rsidR="00191FCA" w:rsidRPr="00B24C8E" w14:paraId="3E56D8AD" w14:textId="77777777" w:rsidTr="00191FCA">
        <w:trPr>
          <w:tblHeader/>
          <w:tblCellSpacing w:w="15" w:type="dxa"/>
        </w:trPr>
        <w:tc>
          <w:tcPr>
            <w:tcW w:w="0" w:type="auto"/>
            <w:tcBorders>
              <w:top w:val="single" w:sz="4" w:space="0" w:color="auto"/>
              <w:left w:val="single" w:sz="4" w:space="0" w:color="auto"/>
              <w:bottom w:val="single" w:sz="4" w:space="0" w:color="auto"/>
            </w:tcBorders>
            <w:vAlign w:val="center"/>
            <w:hideMark/>
          </w:tcPr>
          <w:p w14:paraId="053942AB" w14:textId="77777777" w:rsidR="00191FCA" w:rsidRPr="00B24C8E" w:rsidRDefault="00191FCA" w:rsidP="00191FCA">
            <w:pP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tcBorders>
            <w:vAlign w:val="center"/>
            <w:hideMark/>
          </w:tcPr>
          <w:p w14:paraId="00BF3DF1"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EN</w:t>
            </w:r>
          </w:p>
        </w:tc>
        <w:tc>
          <w:tcPr>
            <w:tcW w:w="0" w:type="auto"/>
            <w:tcBorders>
              <w:top w:val="single" w:sz="4" w:space="0" w:color="auto"/>
              <w:left w:val="single" w:sz="4" w:space="0" w:color="auto"/>
              <w:bottom w:val="single" w:sz="4" w:space="0" w:color="auto"/>
              <w:right w:val="single" w:sz="4" w:space="0" w:color="auto"/>
            </w:tcBorders>
            <w:vAlign w:val="center"/>
            <w:hideMark/>
          </w:tcPr>
          <w:p w14:paraId="43B7F348"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RU</w:t>
            </w:r>
          </w:p>
        </w:tc>
        <w:tc>
          <w:tcPr>
            <w:tcW w:w="0" w:type="auto"/>
            <w:tcBorders>
              <w:top w:val="single" w:sz="4" w:space="0" w:color="auto"/>
              <w:bottom w:val="single" w:sz="4" w:space="0" w:color="auto"/>
              <w:right w:val="single" w:sz="4" w:space="0" w:color="auto"/>
            </w:tcBorders>
            <w:vAlign w:val="center"/>
            <w:hideMark/>
          </w:tcPr>
          <w:p w14:paraId="02FCFBDC" w14:textId="77777777" w:rsidR="00191FCA" w:rsidRPr="00B24C8E" w:rsidRDefault="00191FCA" w:rsidP="00191FCA">
            <w:pPr>
              <w:rPr>
                <w:rFonts w:ascii="Times New Roman" w:hAnsi="Times New Roman" w:cs="Times New Roman"/>
                <w:b/>
                <w:bCs/>
                <w:sz w:val="24"/>
                <w:szCs w:val="24"/>
              </w:rPr>
            </w:pPr>
            <w:r w:rsidRPr="00B24C8E">
              <w:rPr>
                <w:rFonts w:ascii="Times New Roman" w:hAnsi="Times New Roman" w:cs="Times New Roman"/>
                <w:b/>
                <w:bCs/>
                <w:sz w:val="24"/>
                <w:szCs w:val="24"/>
              </w:rPr>
              <w:t>KK</w:t>
            </w:r>
          </w:p>
        </w:tc>
      </w:tr>
      <w:tr w:rsidR="00191FCA" w:rsidRPr="00B24C8E" w14:paraId="26CF38D6" w14:textId="77777777" w:rsidTr="00191FCA">
        <w:trPr>
          <w:tblCellSpacing w:w="15" w:type="dxa"/>
        </w:trPr>
        <w:tc>
          <w:tcPr>
            <w:tcW w:w="0" w:type="auto"/>
            <w:tcBorders>
              <w:left w:val="single" w:sz="4" w:space="0" w:color="auto"/>
            </w:tcBorders>
            <w:vAlign w:val="center"/>
            <w:hideMark/>
          </w:tcPr>
          <w:p w14:paraId="24C32FB5"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o200k_base</w:t>
            </w:r>
          </w:p>
        </w:tc>
        <w:tc>
          <w:tcPr>
            <w:tcW w:w="0" w:type="auto"/>
            <w:tcBorders>
              <w:left w:val="single" w:sz="4" w:space="0" w:color="auto"/>
            </w:tcBorders>
            <w:vAlign w:val="center"/>
            <w:hideMark/>
          </w:tcPr>
          <w:p w14:paraId="6F09E87A"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59</w:t>
            </w:r>
          </w:p>
        </w:tc>
        <w:tc>
          <w:tcPr>
            <w:tcW w:w="0" w:type="auto"/>
            <w:tcBorders>
              <w:left w:val="single" w:sz="4" w:space="0" w:color="auto"/>
              <w:right w:val="single" w:sz="4" w:space="0" w:color="auto"/>
            </w:tcBorders>
            <w:vAlign w:val="center"/>
            <w:hideMark/>
          </w:tcPr>
          <w:p w14:paraId="6A287339"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80 (1.36×)</w:t>
            </w:r>
          </w:p>
        </w:tc>
        <w:tc>
          <w:tcPr>
            <w:tcW w:w="0" w:type="auto"/>
            <w:tcBorders>
              <w:right w:val="single" w:sz="4" w:space="0" w:color="auto"/>
            </w:tcBorders>
            <w:vAlign w:val="center"/>
            <w:hideMark/>
          </w:tcPr>
          <w:p w14:paraId="2CD948EB"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118 (2.00×)</w:t>
            </w:r>
          </w:p>
        </w:tc>
      </w:tr>
      <w:tr w:rsidR="00191FCA" w:rsidRPr="00B24C8E" w14:paraId="27EC4577" w14:textId="77777777" w:rsidTr="00191FCA">
        <w:trPr>
          <w:tblCellSpacing w:w="15" w:type="dxa"/>
        </w:trPr>
        <w:tc>
          <w:tcPr>
            <w:tcW w:w="0" w:type="auto"/>
            <w:tcBorders>
              <w:top w:val="single" w:sz="4" w:space="0" w:color="auto"/>
              <w:left w:val="single" w:sz="4" w:space="0" w:color="auto"/>
              <w:bottom w:val="single" w:sz="4" w:space="0" w:color="auto"/>
            </w:tcBorders>
            <w:vAlign w:val="center"/>
            <w:hideMark/>
          </w:tcPr>
          <w:p w14:paraId="76C43EEF"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cl100k_base</w:t>
            </w:r>
          </w:p>
        </w:tc>
        <w:tc>
          <w:tcPr>
            <w:tcW w:w="0" w:type="auto"/>
            <w:tcBorders>
              <w:top w:val="single" w:sz="4" w:space="0" w:color="auto"/>
              <w:left w:val="single" w:sz="4" w:space="0" w:color="auto"/>
              <w:bottom w:val="single" w:sz="4" w:space="0" w:color="auto"/>
            </w:tcBorders>
            <w:vAlign w:val="center"/>
            <w:hideMark/>
          </w:tcPr>
          <w:p w14:paraId="61AF44D1"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59</w:t>
            </w:r>
          </w:p>
        </w:tc>
        <w:tc>
          <w:tcPr>
            <w:tcW w:w="0" w:type="auto"/>
            <w:tcBorders>
              <w:top w:val="single" w:sz="4" w:space="0" w:color="auto"/>
              <w:left w:val="single" w:sz="4" w:space="0" w:color="auto"/>
              <w:bottom w:val="single" w:sz="4" w:space="0" w:color="auto"/>
              <w:right w:val="single" w:sz="4" w:space="0" w:color="auto"/>
            </w:tcBorders>
            <w:vAlign w:val="center"/>
            <w:hideMark/>
          </w:tcPr>
          <w:p w14:paraId="1BEFF8A5"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146 (2.47×)</w:t>
            </w:r>
          </w:p>
        </w:tc>
        <w:tc>
          <w:tcPr>
            <w:tcW w:w="0" w:type="auto"/>
            <w:tcBorders>
              <w:top w:val="single" w:sz="4" w:space="0" w:color="auto"/>
              <w:bottom w:val="single" w:sz="4" w:space="0" w:color="auto"/>
              <w:right w:val="single" w:sz="4" w:space="0" w:color="auto"/>
            </w:tcBorders>
            <w:vAlign w:val="center"/>
            <w:hideMark/>
          </w:tcPr>
          <w:p w14:paraId="602288F0" w14:textId="77777777"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265 (4.49×)</w:t>
            </w:r>
          </w:p>
        </w:tc>
      </w:tr>
    </w:tbl>
    <w:p w14:paraId="2E31BDC0" w14:textId="08489773" w:rsidR="00191FCA" w:rsidRPr="00B24C8E" w:rsidRDefault="00191FCA" w:rsidP="00191FCA">
      <w:pPr>
        <w:rPr>
          <w:rFonts w:ascii="Times New Roman" w:hAnsi="Times New Roman" w:cs="Times New Roman"/>
          <w:sz w:val="24"/>
          <w:szCs w:val="24"/>
        </w:rPr>
      </w:pPr>
      <w:r w:rsidRPr="00B24C8E">
        <w:rPr>
          <w:rFonts w:ascii="Times New Roman" w:hAnsi="Times New Roman" w:cs="Times New Roman"/>
          <w:sz w:val="24"/>
          <w:szCs w:val="24"/>
        </w:rPr>
        <w:t>o200k_base is consistently kinder to Kazakh</w:t>
      </w:r>
      <w:r w:rsidR="00A964F0" w:rsidRPr="00B24C8E">
        <w:rPr>
          <w:rFonts w:ascii="Times New Roman" w:hAnsi="Times New Roman" w:cs="Times New Roman"/>
          <w:sz w:val="24"/>
          <w:szCs w:val="24"/>
          <w:lang w:val="en-US"/>
        </w:rPr>
        <w:t>s</w:t>
      </w:r>
      <w:r w:rsidRPr="00B24C8E">
        <w:rPr>
          <w:rFonts w:ascii="Times New Roman" w:hAnsi="Times New Roman" w:cs="Times New Roman"/>
          <w:sz w:val="24"/>
          <w:szCs w:val="24"/>
        </w:rPr>
        <w:t>t</w:t>
      </w:r>
      <w:r w:rsidR="00A964F0" w:rsidRPr="00B24C8E">
        <w:rPr>
          <w:rFonts w:ascii="Times New Roman" w:hAnsi="Times New Roman" w:cs="Times New Roman"/>
          <w:sz w:val="24"/>
          <w:szCs w:val="24"/>
        </w:rPr>
        <w:t>a</w:t>
      </w:r>
      <w:r w:rsidRPr="00B24C8E">
        <w:rPr>
          <w:rFonts w:ascii="Times New Roman" w:hAnsi="Times New Roman" w:cs="Times New Roman"/>
          <w:sz w:val="24"/>
          <w:szCs w:val="24"/>
        </w:rPr>
        <w:t>n cl100k_base across all three corpus items — the gap between the two tokenizers on Kazakh (2.00× vs. 4.49×) is far larger than on Russian (1.36× vs. 2.47×), showing tokenizer choice alone can more than double the effective Kazakh penalty.</w:t>
      </w:r>
    </w:p>
    <w:p w14:paraId="45492838" w14:textId="77777777" w:rsidR="00191FCA" w:rsidRPr="00B24C8E" w:rsidRDefault="00191FCA" w:rsidP="00191FCA">
      <w:pPr>
        <w:rPr>
          <w:rFonts w:ascii="Times New Roman" w:hAnsi="Times New Roman" w:cs="Times New Roman"/>
          <w:sz w:val="24"/>
          <w:szCs w:val="24"/>
          <w:lang w:val="kk-KZ"/>
        </w:rPr>
      </w:pPr>
      <w:r w:rsidRPr="00B24C8E">
        <w:rPr>
          <w:rFonts w:ascii="Times New Roman" w:hAnsi="Times New Roman" w:cs="Times New Roman"/>
          <w:b/>
          <w:bCs/>
          <w:sz w:val="24"/>
          <w:szCs w:val="24"/>
        </w:rPr>
        <w:t>Part 1 (offline size measures, complaint item):</w:t>
      </w:r>
      <w:r w:rsidRPr="00B24C8E">
        <w:rPr>
          <w:rFonts w:ascii="Times New Roman" w:hAnsi="Times New Roman" w:cs="Times New Roman"/>
          <w:sz w:val="24"/>
          <w:szCs w:val="24"/>
        </w:rPr>
        <w:t xml:space="preserve"> bytes/EN: RU 1.92×, KK 2.13×; bytes/char: RU 1.83, KK 1.86 — RU and KK have nearly identical bytes-per-character (both fully Cyrillic), yet their actual token costs diverge sharply (Part 0 above), confirming the cost lives in the tokenizer's merge table, not in the alphabet.</w:t>
      </w:r>
    </w:p>
    <w:p w14:paraId="5F20454E" w14:textId="77777777" w:rsidR="00BF61F9" w:rsidRPr="00B24C8E" w:rsidRDefault="00BF61F9" w:rsidP="00191FCA">
      <w:pPr>
        <w:rPr>
          <w:rFonts w:ascii="Times New Roman" w:hAnsi="Times New Roman" w:cs="Times New Roman"/>
          <w:sz w:val="24"/>
          <w:szCs w:val="24"/>
          <w:lang w:val="kk-KZ"/>
        </w:rPr>
      </w:pPr>
    </w:p>
    <w:p w14:paraId="1A138D3B" w14:textId="52338FC0" w:rsidR="00BF61F9" w:rsidRPr="00B24C8E" w:rsidRDefault="004174FE" w:rsidP="00191FCA">
      <w:pPr>
        <w:rPr>
          <w:rFonts w:ascii="Times New Roman" w:hAnsi="Times New Roman" w:cs="Times New Roman"/>
          <w:b/>
          <w:bCs/>
          <w:sz w:val="24"/>
          <w:szCs w:val="24"/>
          <w:lang w:val="kk-KZ"/>
        </w:rPr>
      </w:pPr>
      <w:r w:rsidRPr="00B24C8E">
        <w:rPr>
          <w:rFonts w:ascii="Times New Roman" w:hAnsi="Times New Roman" w:cs="Times New Roman"/>
          <w:b/>
          <w:bCs/>
          <w:sz w:val="24"/>
          <w:szCs w:val="24"/>
        </w:rPr>
        <w:t>Use of AI Assistance</w:t>
      </w:r>
    </w:p>
    <w:p w14:paraId="4394E96A" w14:textId="3FCF5717" w:rsidR="00BF61F9" w:rsidRPr="00B24C8E" w:rsidRDefault="00BF61F9" w:rsidP="00191FCA">
      <w:pPr>
        <w:rPr>
          <w:rFonts w:ascii="Times New Roman" w:hAnsi="Times New Roman" w:cs="Times New Roman"/>
          <w:sz w:val="24"/>
          <w:szCs w:val="24"/>
          <w:lang w:val="kk-KZ"/>
        </w:rPr>
      </w:pPr>
      <w:r w:rsidRPr="00B24C8E">
        <w:rPr>
          <w:rFonts w:ascii="Times New Roman" w:hAnsi="Times New Roman" w:cs="Times New Roman"/>
          <w:sz w:val="24"/>
          <w:szCs w:val="24"/>
          <w:lang w:val="en-US"/>
        </w:rPr>
        <w:t>Claude</w:t>
      </w:r>
      <w:r w:rsidRPr="00B24C8E">
        <w:rPr>
          <w:rFonts w:ascii="Times New Roman" w:hAnsi="Times New Roman" w:cs="Times New Roman"/>
          <w:sz w:val="24"/>
          <w:szCs w:val="24"/>
        </w:rPr>
        <w:t xml:space="preserve"> was used throughout this assignment to help troubleshoot errors, adapt the provided scripts from the Anthropic API to the Google Gemini API, and verify results — not as a substitute for the required analysis. In broad terms, the assistant helped debug a series of environment and API errors encountered while running the lab on Windows (encoding issues, authentication errors, and changes in the Gemini API itself over the course of the project), and rewrote part2_measure_gemini.py, prices.py, and part3_cost.py so the lab's cost-analysis pipeline works correctly with Gemini token counts and pricing instead of Claude's, since only a Gemini API key was available.</w:t>
      </w:r>
    </w:p>
    <w:p w14:paraId="3EED395F" w14:textId="77777777" w:rsidR="00E13B71" w:rsidRPr="00B24C8E" w:rsidRDefault="00E13B71">
      <w:pPr>
        <w:rPr>
          <w:rFonts w:ascii="Times New Roman" w:hAnsi="Times New Roman" w:cs="Times New Roman"/>
          <w:sz w:val="24"/>
          <w:szCs w:val="24"/>
        </w:rPr>
      </w:pPr>
    </w:p>
    <w:sectPr w:rsidR="00E13B71" w:rsidRPr="00B24C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05705"/>
    <w:multiLevelType w:val="multilevel"/>
    <w:tmpl w:val="2AD0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CC1DBF"/>
    <w:multiLevelType w:val="multilevel"/>
    <w:tmpl w:val="B8C2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033658">
    <w:abstractNumId w:val="0"/>
  </w:num>
  <w:num w:numId="2" w16cid:durableId="1044675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8F1"/>
    <w:rsid w:val="00191FCA"/>
    <w:rsid w:val="00310F6F"/>
    <w:rsid w:val="004174FE"/>
    <w:rsid w:val="00A964F0"/>
    <w:rsid w:val="00B24C8E"/>
    <w:rsid w:val="00B52F31"/>
    <w:rsid w:val="00BE08F1"/>
    <w:rsid w:val="00BF61F9"/>
    <w:rsid w:val="00E13B7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1DA8"/>
  <w15:chartTrackingRefBased/>
  <w15:docId w15:val="{60E7D581-7C67-4EAA-B13C-786E2D1D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E0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E0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E08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E08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E08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E08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E08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08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E08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08F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E08F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E08F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E08F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E08F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E08F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E08F1"/>
    <w:rPr>
      <w:rFonts w:eastAsiaTheme="majorEastAsia" w:cstheme="majorBidi"/>
      <w:color w:val="595959" w:themeColor="text1" w:themeTint="A6"/>
    </w:rPr>
  </w:style>
  <w:style w:type="character" w:customStyle="1" w:styleId="80">
    <w:name w:val="Заголовок 8 Знак"/>
    <w:basedOn w:val="a0"/>
    <w:link w:val="8"/>
    <w:uiPriority w:val="9"/>
    <w:semiHidden/>
    <w:rsid w:val="00BE08F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E08F1"/>
    <w:rPr>
      <w:rFonts w:eastAsiaTheme="majorEastAsia" w:cstheme="majorBidi"/>
      <w:color w:val="272727" w:themeColor="text1" w:themeTint="D8"/>
    </w:rPr>
  </w:style>
  <w:style w:type="paragraph" w:styleId="a3">
    <w:name w:val="Title"/>
    <w:basedOn w:val="a"/>
    <w:next w:val="a"/>
    <w:link w:val="a4"/>
    <w:uiPriority w:val="10"/>
    <w:qFormat/>
    <w:rsid w:val="00BE0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E08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08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E08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E08F1"/>
    <w:pPr>
      <w:spacing w:before="160"/>
      <w:jc w:val="center"/>
    </w:pPr>
    <w:rPr>
      <w:i/>
      <w:iCs/>
      <w:color w:val="404040" w:themeColor="text1" w:themeTint="BF"/>
    </w:rPr>
  </w:style>
  <w:style w:type="character" w:customStyle="1" w:styleId="22">
    <w:name w:val="Цитата 2 Знак"/>
    <w:basedOn w:val="a0"/>
    <w:link w:val="21"/>
    <w:uiPriority w:val="29"/>
    <w:rsid w:val="00BE08F1"/>
    <w:rPr>
      <w:i/>
      <w:iCs/>
      <w:color w:val="404040" w:themeColor="text1" w:themeTint="BF"/>
    </w:rPr>
  </w:style>
  <w:style w:type="paragraph" w:styleId="a7">
    <w:name w:val="List Paragraph"/>
    <w:basedOn w:val="a"/>
    <w:uiPriority w:val="34"/>
    <w:qFormat/>
    <w:rsid w:val="00BE08F1"/>
    <w:pPr>
      <w:ind w:left="720"/>
      <w:contextualSpacing/>
    </w:pPr>
  </w:style>
  <w:style w:type="character" w:styleId="a8">
    <w:name w:val="Intense Emphasis"/>
    <w:basedOn w:val="a0"/>
    <w:uiPriority w:val="21"/>
    <w:qFormat/>
    <w:rsid w:val="00BE08F1"/>
    <w:rPr>
      <w:i/>
      <w:iCs/>
      <w:color w:val="0F4761" w:themeColor="accent1" w:themeShade="BF"/>
    </w:rPr>
  </w:style>
  <w:style w:type="paragraph" w:styleId="a9">
    <w:name w:val="Intense Quote"/>
    <w:basedOn w:val="a"/>
    <w:next w:val="a"/>
    <w:link w:val="aa"/>
    <w:uiPriority w:val="30"/>
    <w:qFormat/>
    <w:rsid w:val="00BE0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E08F1"/>
    <w:rPr>
      <w:i/>
      <w:iCs/>
      <w:color w:val="0F4761" w:themeColor="accent1" w:themeShade="BF"/>
    </w:rPr>
  </w:style>
  <w:style w:type="character" w:styleId="ab">
    <w:name w:val="Intense Reference"/>
    <w:basedOn w:val="a0"/>
    <w:uiPriority w:val="32"/>
    <w:qFormat/>
    <w:rsid w:val="00BE0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nugumarovs221@gmail.com</dc:creator>
  <cp:keywords/>
  <dc:description/>
  <cp:lastModifiedBy>nugumarovs221@gmail.com</cp:lastModifiedBy>
  <cp:revision>6</cp:revision>
  <dcterms:created xsi:type="dcterms:W3CDTF">2026-09-20T17:51:00Z</dcterms:created>
  <dcterms:modified xsi:type="dcterms:W3CDTF">2026-09-20T18:01:00Z</dcterms:modified>
</cp:coreProperties>
</file>