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rFonts w:ascii="Arial" w:cs="Arial" w:eastAsia="Arial" w:hAnsi="Arial"/>
          <w:b/>
          <w:bCs/>
          <w:color w:val="1F4E79"/>
          <w:sz w:val="64"/>
          <w:szCs w:val="64"/>
        </w:rPr>
        <w:t xml:space="preserve">HEKİS Modeli</w:t>
      </w:r>
    </w:p>
    <w:p>
      <w:pPr>
        <w:spacing w:after="200"/>
      </w:pPr>
      <w:r>
        <w:rPr>
          <w:rFonts w:ascii="Arial" w:cs="Arial" w:eastAsia="Arial" w:hAnsi="Arial"/>
          <w:color w:val="1F2A37"/>
          <w:sz w:val="36"/>
          <w:szCs w:val="36"/>
        </w:rPr>
        <w:t xml:space="preserve">Hedef Endeksli Kapalı İç Senet</w:t>
      </w:r>
    </w:p>
    <w:p>
      <w:pPr>
        <w:spacing w:after="120"/>
      </w:pPr>
      <w:r>
        <w:rPr>
          <w:rFonts w:ascii="Arial" w:cs="Arial" w:eastAsia="Arial" w:hAnsi="Arial"/>
          <w:color w:val="555555"/>
          <w:sz w:val="24"/>
          <w:szCs w:val="24"/>
        </w:rPr>
        <w:t xml:space="preserve">Boş konut stokunu kullandırmanın stok-akım modeli: sistem, veri, sonuçlar ve sınırlar</w:t>
      </w:r>
    </w:p>
    <w:p>
      <w:pPr>
        <w:spacing w:after="120"/>
      </w:pPr>
      <w:r>
        <w:rPr>
          <w:rFonts w:ascii="Arial" w:cs="Arial" w:eastAsia="Arial" w:hAnsi="Arial"/>
          <w:color w:val="555555"/>
          <w:sz w:val="22"/>
          <w:szCs w:val="22"/>
        </w:rPr>
        <w:t xml:space="preserve">Kapsam: İstanbul. Veri tarihi: Ekim 2026. Kişisel modelleme, kamu maliyesi modeli değildir.</w:t>
      </w:r>
    </w:p>
    <w:p>
      <w:r>
        <w:br w:type="page"/>
      </w:r>
    </w:p>
    <w:p>
      <w:pPr>
        <w:spacing w:after="160"/>
      </w:pPr>
      <w:r>
        <w:rPr>
          <w:rFonts w:ascii="Arial" w:cs="Arial" w:eastAsia="Arial" w:hAnsi="Arial"/>
          <w:b/>
          <w:bCs/>
          <w:color w:val="1F4E79"/>
          <w:sz w:val="32"/>
          <w:szCs w:val="32"/>
        </w:rP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Arial" w:cs="Arial" w:eastAsia="Arial" w:hAnsi="Arial"/>
          <w:b/>
          <w:bCs/>
          <w:color w:val="1F4E79"/>
          <w:sz w:val="32"/>
          <w:szCs w:val="32"/>
        </w:rPr>
        <w:t xml:space="preserve">1. Bir bakışta</w:t>
      </w:r>
    </w:p>
    <w:p>
      <w:pPr>
        <w:spacing w:after="120" w:line="300"/>
      </w:pPr>
      <w:r>
        <w:rPr>
          <w:rFonts w:ascii="Arial" w:cs="Arial" w:eastAsia="Arial" w:hAnsi="Arial"/>
          <w:color w:val="1F2A37"/>
          <w:sz w:val="22"/>
          <w:szCs w:val="22"/>
        </w:rPr>
        <w:t xml:space="preserve">HEKİS, İstanbul'da boş duran konutları sosyal kiralamaya çeviren bir sistemin hesap makinesidir. Politika önerisi değildir; "böyle yapılırsa para nereden gelir, nereye gider, kaç daire kullanıma girer" sorusunu sayıyla cevaplar.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4D0" w:sz="4"/>
              <w:left w:val="single" w:color="B8C4D0" w:sz="4"/>
              <w:bottom w:val="single" w:color="B8C4D0" w:sz="4"/>
              <w:right w:val="single" w:color="B8C4D0" w:sz="4"/>
            </w:tcBorders>
            <w:shd w:fill="EAF1F8" w:color="auto" w:val="clear"/>
            <w:tcMar>
              <w:top w:type="dxa" w:w="120"/>
              <w:left w:type="dxa" w:w="160"/>
              <w:bottom w:type="dxa" w:w="120"/>
              <w:right w:type="dxa" w:w="160"/>
            </w:tcMar>
          </w:tcPr>
          <w:p>
            <w:pPr>
              <w:spacing w:after="60"/>
            </w:pPr>
            <w:r>
              <w:rPr>
                <w:rFonts w:ascii="Arial" w:cs="Arial" w:eastAsia="Arial" w:hAnsi="Arial"/>
                <w:b/>
                <w:bCs/>
                <w:color w:val="1F4E79"/>
                <w:sz w:val="22"/>
                <w:szCs w:val="22"/>
              </w:rPr>
              <w:t xml:space="preserve">Sistemin tek cümlelik özeti</w:t>
            </w:r>
          </w:p>
          <w:p>
            <w:pPr>
              <w:spacing w:after="50" w:line="280"/>
            </w:pPr>
            <w:r>
              <w:rPr>
                <w:rFonts w:ascii="Arial" w:cs="Arial" w:eastAsia="Arial" w:hAnsi="Arial"/>
                <w:color w:val="1F2A37"/>
                <w:sz w:val="22"/>
                <w:szCs w:val="22"/>
              </w:rPr>
              <w:t xml:space="preserve">Sahip boş dairesini havuza verir, karşılığında enflasyona endeksli bir senet alır. Havuz daireyi geliri düşük bir haneye kiralar. Kiranın farkını ve elektrik, doğalgaz, su faturasını devlet öder. Boş tutmayı sürdürenler bir "boş tutma bedeli" öder. Havuzun net kirası senedi zamanla geri öder.</w:t>
            </w:r>
          </w:p>
        </w:tc>
      </w:tr>
    </w:tbl>
    <w:p>
      <w:pPr>
        <w:spacing w:after="100"/>
      </w:pPr>
    </w:p>
    <w:p>
      <w:pPr>
        <w:spacing w:after="120" w:line="300"/>
      </w:pPr>
      <w:r>
        <w:rPr>
          <w:rFonts w:ascii="Arial" w:cs="Arial" w:eastAsia="Arial" w:hAnsi="Arial"/>
          <w:b/>
          <w:bCs/>
          <w:color w:val="1F2A37"/>
          <w:sz w:val="22"/>
          <w:szCs w:val="22"/>
        </w:rPr>
        <w:t xml:space="preserve">En olası senaryoda İstanbul'da çıkan tablo:</w:t>
      </w:r>
    </w:p>
    <w:p>
      <w:pPr>
        <w:pStyle w:val="ListParagraph"/>
        <w:numPr>
          <w:ilvl w:val="0"/>
          <w:numId w:val="2"/>
        </w:numPr>
        <w:spacing w:after="70" w:line="290"/>
      </w:pPr>
      <w:r>
        <w:rPr>
          <w:rFonts w:ascii="Arial" w:cs="Arial" w:eastAsia="Arial" w:hAnsi="Arial"/>
          <w:color w:val="1F2A37"/>
          <w:sz w:val="22"/>
          <w:szCs w:val="22"/>
        </w:rPr>
        <w:t xml:space="preserve">Üç bölgeli sistemde yaklaşık 37 bin daire havuza girer; uygun kiracı hanelerin %6,6'sına ulaşır.</w:t>
      </w:r>
    </w:p>
    <w:p>
      <w:pPr>
        <w:pStyle w:val="ListParagraph"/>
        <w:numPr>
          <w:ilvl w:val="0"/>
          <w:numId w:val="2"/>
        </w:numPr>
        <w:spacing w:after="70" w:line="290"/>
      </w:pPr>
      <w:r>
        <w:rPr>
          <w:rFonts w:ascii="Arial" w:cs="Arial" w:eastAsia="Arial" w:hAnsi="Arial"/>
          <w:color w:val="1F2A37"/>
          <w:sz w:val="22"/>
          <w:szCs w:val="22"/>
        </w:rPr>
        <w:t xml:space="preserve">Yıllık sübvansiyon yaklaşık 3,9 milyar TL, boş tutma bedeli geliri yaklaşık 9,4 milyar TL.</w:t>
      </w:r>
    </w:p>
    <w:p>
      <w:pPr>
        <w:pStyle w:val="ListParagraph"/>
        <w:numPr>
          <w:ilvl w:val="0"/>
          <w:numId w:val="2"/>
        </w:numPr>
        <w:spacing w:after="70" w:line="290"/>
      </w:pPr>
      <w:r>
        <w:rPr>
          <w:rFonts w:ascii="Arial" w:cs="Arial" w:eastAsia="Arial" w:hAnsi="Arial"/>
          <w:color w:val="1F2A37"/>
          <w:sz w:val="22"/>
          <w:szCs w:val="22"/>
        </w:rPr>
        <w:t xml:space="preserve">Bunun yanında yaklaşık 107 bin boş daire, bedel baskısıyla boşluktan çıkıp özel piyasaya döner.</w:t>
      </w:r>
    </w:p>
    <w:p>
      <w:pPr>
        <w:pStyle w:val="ListParagraph"/>
        <w:numPr>
          <w:ilvl w:val="0"/>
          <w:numId w:val="2"/>
        </w:numPr>
        <w:spacing w:after="70" w:line="290"/>
      </w:pPr>
      <w:r>
        <w:rPr>
          <w:rFonts w:ascii="Arial" w:cs="Arial" w:eastAsia="Arial" w:hAnsi="Arial"/>
          <w:color w:val="1F2A37"/>
          <w:sz w:val="22"/>
          <w:szCs w:val="22"/>
        </w:rPr>
        <w:t xml:space="preserve">Ülke genelinde etki küçüktür (Gini katsayısı yalnızca binde birkaç değişir), yerleşen hane için etki büyüktür (konut yükü %81'den %30'a düşebilir).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4D0" w:sz="4"/>
              <w:left w:val="single" w:color="B8C4D0" w:sz="4"/>
              <w:bottom w:val="single" w:color="B8C4D0" w:sz="4"/>
              <w:right w:val="single" w:color="B8C4D0" w:sz="4"/>
            </w:tcBorders>
            <w:shd w:fill="FFF4E0" w:color="auto" w:val="clear"/>
            <w:tcMar>
              <w:top w:type="dxa" w:w="120"/>
              <w:left w:type="dxa" w:w="160"/>
              <w:bottom w:type="dxa" w:w="120"/>
              <w:right w:type="dxa" w:w="160"/>
            </w:tcMar>
          </w:tcPr>
          <w:p>
            <w:pPr>
              <w:spacing w:after="60"/>
            </w:pPr>
            <w:r>
              <w:rPr>
                <w:rFonts w:ascii="Arial" w:cs="Arial" w:eastAsia="Arial" w:hAnsi="Arial"/>
                <w:b/>
                <w:bCs/>
                <w:color w:val="1F4E79"/>
                <w:sz w:val="22"/>
                <w:szCs w:val="22"/>
              </w:rPr>
              <w:t xml:space="preserve">En önemli üç ders</w:t>
            </w:r>
          </w:p>
          <w:p>
            <w:pPr>
              <w:spacing w:after="50" w:line="280"/>
            </w:pPr>
            <w:r>
              <w:rPr>
                <w:rFonts w:ascii="Arial" w:cs="Arial" w:eastAsia="Arial" w:hAnsi="Arial"/>
                <w:b/>
                <w:bCs/>
                <w:color w:val="1F2A37"/>
                <w:sz w:val="22"/>
                <w:szCs w:val="22"/>
              </w:rPr>
              <w:t xml:space="preserve">1. Ters döngülü: </w:t>
            </w:r>
            <w:r>
              <w:rPr>
                <w:rFonts w:ascii="Arial" w:cs="Arial" w:eastAsia="Arial" w:hAnsi="Arial"/>
                <w:color w:val="1F2A37"/>
                <w:sz w:val="22"/>
                <w:szCs w:val="22"/>
              </w:rPr>
              <w:t xml:space="preserve">Fiyatlar hızla artarken sahipler sisteme girmez. Fiyatlar durgunken ya da düşerken girer. Yani sistem "ihtiyaç anında" değil "sakin dönemde" çalışır.</w:t>
            </w:r>
          </w:p>
          <w:p>
            <w:pPr>
              <w:spacing w:after="50" w:line="280"/>
            </w:pPr>
            <w:r>
              <w:rPr>
                <w:rFonts w:ascii="Arial" w:cs="Arial" w:eastAsia="Arial" w:hAnsi="Arial"/>
                <w:b/>
                <w:bCs/>
                <w:color w:val="1F2A37"/>
                <w:sz w:val="22"/>
                <w:szCs w:val="22"/>
              </w:rPr>
              <w:t xml:space="preserve">2. Ölçek büyüdükçe kendini finanse etmek zorlaşır: </w:t>
            </w:r>
            <w:r>
              <w:rPr>
                <w:rFonts w:ascii="Arial" w:cs="Arial" w:eastAsia="Arial" w:hAnsi="Arial"/>
                <w:color w:val="1F2A37"/>
                <w:sz w:val="22"/>
                <w:szCs w:val="22"/>
              </w:rPr>
              <w:t xml:space="preserve">Daha çok daire girdikçe bedel ödeyen sayısı azalır, sübvansiyon alan sayısı artar.</w:t>
            </w:r>
          </w:p>
          <w:p>
            <w:pPr>
              <w:spacing w:after="50" w:line="280"/>
            </w:pPr>
            <w:r>
              <w:rPr>
                <w:rFonts w:ascii="Arial" w:cs="Arial" w:eastAsia="Arial" w:hAnsi="Arial"/>
                <w:b/>
                <w:bCs/>
                <w:color w:val="1F2A37"/>
                <w:sz w:val="22"/>
                <w:szCs w:val="22"/>
              </w:rPr>
              <w:t xml:space="preserve">3. Büyüklük sonuçları zayıf, yön sonuçları sağlam: </w:t>
            </w:r>
            <w:r>
              <w:rPr>
                <w:rFonts w:ascii="Arial" w:cs="Arial" w:eastAsia="Arial" w:hAnsi="Arial"/>
                <w:color w:val="1F2A37"/>
                <w:sz w:val="22"/>
                <w:szCs w:val="22"/>
              </w:rPr>
              <w:t xml:space="preserve">Daire sayısı üç kalibre edilemeyen varsayıma bağlıdır; ama yukarıdaki iki ders hangi varsayımı seçersen seç tekrar çıkar.</w:t>
            </w:r>
          </w:p>
        </w:tc>
      </w:tr>
    </w:tbl>
    <w:p>
      <w:pPr>
        <w:pStyle w:val="Heading1"/>
        <w:spacing w:after="160" w:before="360"/>
      </w:pPr>
      <w:r>
        <w:rPr>
          <w:rFonts w:ascii="Arial" w:cs="Arial" w:eastAsia="Arial" w:hAnsi="Arial"/>
          <w:b/>
          <w:bCs/>
          <w:color w:val="1F4E79"/>
          <w:sz w:val="32"/>
          <w:szCs w:val="32"/>
        </w:rPr>
        <w:t xml:space="preserve">2. Problem ve fikir</w:t>
      </w:r>
    </w:p>
    <w:p>
      <w:pPr>
        <w:pStyle w:val="Heading2"/>
        <w:spacing w:after="100" w:before="240"/>
      </w:pPr>
      <w:r>
        <w:rPr>
          <w:rFonts w:ascii="Arial" w:cs="Arial" w:eastAsia="Arial" w:hAnsi="Arial"/>
          <w:b/>
          <w:bCs/>
          <w:color w:val="1F4E79"/>
          <w:sz w:val="26"/>
          <w:szCs w:val="26"/>
        </w:rPr>
        <w:t xml:space="preserve">2.1 Problem</w:t>
      </w:r>
    </w:p>
    <w:p>
      <w:pPr>
        <w:spacing w:after="120" w:line="300"/>
      </w:pPr>
      <w:r>
        <w:rPr>
          <w:rFonts w:ascii="Arial" w:cs="Arial" w:eastAsia="Arial" w:hAnsi="Arial"/>
          <w:color w:val="1F2A37"/>
          <w:sz w:val="22"/>
          <w:szCs w:val="22"/>
        </w:rPr>
        <w:t xml:space="preserve">İstanbul'da yaklaşık 4,5 milyon konut vardır. Boş konut sayısı için tahminler 225 bin (elektrik aboneliğine göre) ile 450-750 bin (İBB tahmini) arasında değişir. Yöntem farkı büyüktür, tek bir doğru sayı yoktur. Aynı anda geliri düşük bir kiracı kitlesi, piyasa kirasını ödeyemez.</w:t>
      </w:r>
    </w:p>
    <w:p>
      <w:pPr>
        <w:spacing w:after="120" w:line="300"/>
      </w:pPr>
      <w:r>
        <w:rPr>
          <w:rFonts w:ascii="Arial" w:cs="Arial" w:eastAsia="Arial" w:hAnsi="Arial"/>
          <w:color w:val="1F2A37"/>
          <w:sz w:val="22"/>
          <w:szCs w:val="22"/>
        </w:rPr>
        <w:t xml:space="preserve">Konut fiyatları 2020-2023 arasında reel olarak yaklaşık 2,4 kat arttı. Aynı dönemde ipotekli satışların payı %38'den %11'e düştü. Yani artışı kredi değil, negatif reel faiz ortamında konuta yönelen sermaye taşıdı. Konut, bir barınma aracı olmaktan çok bir değer saklama aracı gibi davrandı.</w:t>
      </w:r>
    </w:p>
    <w:p>
      <w:pPr>
        <w:pStyle w:val="Heading2"/>
        <w:spacing w:after="100" w:before="240"/>
      </w:pPr>
      <w:r>
        <w:rPr>
          <w:rFonts w:ascii="Arial" w:cs="Arial" w:eastAsia="Arial" w:hAnsi="Arial"/>
          <w:b/>
          <w:bCs/>
          <w:color w:val="1F4E79"/>
          <w:sz w:val="26"/>
          <w:szCs w:val="26"/>
        </w:rPr>
        <w:t xml:space="preserve">2.2 Fikir</w:t>
      </w:r>
    </w:p>
    <w:p>
      <w:pPr>
        <w:spacing w:after="120" w:line="300"/>
      </w:pPr>
      <w:r>
        <w:rPr>
          <w:rFonts w:ascii="Arial" w:cs="Arial" w:eastAsia="Arial" w:hAnsi="Arial"/>
          <w:color w:val="1F2A37"/>
          <w:sz w:val="22"/>
          <w:szCs w:val="22"/>
        </w:rPr>
        <w:t xml:space="preserve">Boş konutu "sermaye tutma aracı" olarak tutmak sahibe pahalıya gelir (vergi, sigorta, aidat, bakım). Eğer sahip dairesini bir havuza verirse ve karşılığında reel olarak değerini koruyan bir senet alırsa, hem boş stok işler hale gelir hem de sahip bir şey kaybetmez. Havuzun kira geliri, senedin anaparasını zamanla geri öder.</w:t>
      </w:r>
    </w:p>
    <w:p>
      <w:pPr>
        <w:spacing w:after="120" w:line="300"/>
      </w:pPr>
      <w:r>
        <w:rPr>
          <w:rFonts w:ascii="Arial" w:cs="Arial" w:eastAsia="Arial" w:hAnsi="Arial"/>
          <w:color w:val="1F2A37"/>
          <w:sz w:val="22"/>
          <w:szCs w:val="22"/>
        </w:rPr>
        <w:t xml:space="preserve">Model bunun bir politika olarak ne zaman, ne kadar ve kimin parasıyla işleyeceğini hesaplar.</w:t>
      </w:r>
    </w:p>
    <w:p>
      <w:pPr>
        <w:pStyle w:val="Heading1"/>
        <w:spacing w:after="160" w:before="360"/>
      </w:pPr>
      <w:r>
        <w:rPr>
          <w:rFonts w:ascii="Arial" w:cs="Arial" w:eastAsia="Arial" w:hAnsi="Arial"/>
          <w:b/>
          <w:bCs/>
          <w:color w:val="1F4E79"/>
          <w:sz w:val="32"/>
          <w:szCs w:val="32"/>
        </w:rPr>
        <w:t xml:space="preserve">3. Sistem nasıl çalışıyor</w:t>
      </w:r>
    </w:p>
    <w:p>
      <w:pPr>
        <w:pStyle w:val="Heading2"/>
        <w:spacing w:after="100" w:before="240"/>
      </w:pPr>
      <w:r>
        <w:rPr>
          <w:rFonts w:ascii="Arial" w:cs="Arial" w:eastAsia="Arial" w:hAnsi="Arial"/>
          <w:b/>
          <w:bCs/>
          <w:color w:val="1F4E79"/>
          <w:sz w:val="26"/>
          <w:szCs w:val="26"/>
        </w:rPr>
        <w:t xml:space="preserve">3.1 Üç defter</w:t>
      </w:r>
    </w:p>
    <w:p>
      <w:pPr>
        <w:spacing w:after="120" w:line="300"/>
      </w:pPr>
      <w:r>
        <w:rPr>
          <w:rFonts w:ascii="Arial" w:cs="Arial" w:eastAsia="Arial" w:hAnsi="Arial"/>
          <w:color w:val="1F2A37"/>
          <w:sz w:val="22"/>
          <w:szCs w:val="22"/>
        </w:rPr>
        <w:t xml:space="preserve">Modelin temel ilkesi: aynı sayıyı iki defterde göstermemek. Üç ayrı defter tutulur ve birbirine eşitlenmez.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Defter</w:t>
            </w:r>
          </w:p>
        </w:tc>
        <w:tc>
          <w:tcPr>
            <w:tcW w:type="dxa" w:w="7438"/>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Neyi tutar</w:t>
            </w:r>
          </w:p>
        </w:tc>
      </w:tr>
      <w:tr>
        <w:trPr>
          <w:tblHeader w:val="false"/>
        </w:trPr>
        <w:tc>
          <w:tcPr>
            <w:tcW w:type="dxa" w:w="22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Mülkiyet</w:t>
            </w:r>
          </w:p>
        </w:tc>
        <w:tc>
          <w:tcPr>
            <w:tcW w:type="dxa" w:w="74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Sahibin anaparası: dairenin havuza girerken değeri, enflasyona endeksli. Zamanla geri ödendikçe azalır.</w:t>
            </w:r>
          </w:p>
        </w:tc>
      </w:tr>
      <w:tr>
        <w:trPr>
          <w:tblHeader w:val="false"/>
        </w:trPr>
        <w:tc>
          <w:tcPr>
            <w:tcW w:type="dxa" w:w="22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Oturan</w:t>
            </w:r>
          </w:p>
        </w:tc>
        <w:tc>
          <w:tcPr>
            <w:tcW w:type="dxa" w:w="74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Fiilen ödenen kira. Oturan, gelirine göre düşük bir kira öder; fark ayrı bir kalemdir.</w:t>
            </w:r>
          </w:p>
        </w:tc>
      </w:tr>
      <w:tr>
        <w:trPr>
          <w:tblHeader w:val="false"/>
        </w:trPr>
        <w:tc>
          <w:tcPr>
            <w:tcW w:type="dxa" w:w="22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Senet (havuz nakdi)</w:t>
            </w:r>
          </w:p>
        </w:tc>
        <w:tc>
          <w:tcPr>
            <w:tcW w:type="dxa" w:w="74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Havuzun elindeki gerçek para: kira geliri eksi giderler. Senedi geri ödeyen bu paradır.</w:t>
            </w:r>
          </w:p>
        </w:tc>
      </w:tr>
    </w:tbl>
    <w:p>
      <w:pPr>
        <w:spacing w:after="100"/>
      </w:pPr>
    </w:p>
    <w:p>
      <w:pPr>
        <w:pStyle w:val="Heading2"/>
        <w:spacing w:after="100" w:before="240"/>
      </w:pPr>
      <w:r>
        <w:rPr>
          <w:rFonts w:ascii="Arial" w:cs="Arial" w:eastAsia="Arial" w:hAnsi="Arial"/>
          <w:b/>
          <w:bCs/>
          <w:color w:val="1F4E79"/>
          <w:sz w:val="26"/>
          <w:szCs w:val="26"/>
        </w:rPr>
        <w:t xml:space="preserve">3.2 Kim ne yapıyor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Aktör</w:t>
            </w:r>
          </w:p>
        </w:tc>
        <w:tc>
          <w:tcPr>
            <w:tcW w:type="dxa" w:w="7438"/>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Rolü</w:t>
            </w:r>
          </w:p>
        </w:tc>
      </w:tr>
      <w:tr>
        <w:trPr>
          <w:tblHeader w:val="false"/>
        </w:trPr>
        <w:tc>
          <w:tcPr>
            <w:tcW w:type="dxa" w:w="22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Sahip</w:t>
            </w:r>
          </w:p>
        </w:tc>
        <w:tc>
          <w:tcPr>
            <w:tcW w:type="dxa" w:w="74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Boş daireyi havuza verir (ya da vermez). Alternatifi: boş tutmak, satmak, kendisi oturmak ya da kiralamak.</w:t>
            </w:r>
          </w:p>
        </w:tc>
      </w:tr>
      <w:tr>
        <w:trPr>
          <w:tblHeader w:val="false"/>
        </w:trPr>
        <w:tc>
          <w:tcPr>
            <w:tcW w:type="dxa" w:w="22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Havuz</w:t>
            </w:r>
          </w:p>
        </w:tc>
        <w:tc>
          <w:tcPr>
            <w:tcW w:type="dxa" w:w="74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Daireyi kiralar, giderleri öder (emlak vergisi, DASK, aidat, bakım), net kirayla senedi geri öder.</w:t>
            </w:r>
          </w:p>
        </w:tc>
      </w:tr>
      <w:tr>
        <w:trPr>
          <w:tblHeader w:val="false"/>
        </w:trPr>
        <w:tc>
          <w:tcPr>
            <w:tcW w:type="dxa" w:w="22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Kiracı (oturan)</w:t>
            </w:r>
          </w:p>
        </w:tc>
        <w:tc>
          <w:tcPr>
            <w:tcW w:type="dxa" w:w="74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Geliri düşük hane. Gelirinin en çok %30'u kadar kira öder. Elektrik, doğalgaz, su faturasını ödemez.</w:t>
            </w:r>
          </w:p>
        </w:tc>
      </w:tr>
      <w:tr>
        <w:trPr>
          <w:tblHeader w:val="false"/>
        </w:trPr>
        <w:tc>
          <w:tcPr>
            <w:tcW w:type="dxa" w:w="22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Devlet</w:t>
            </w:r>
          </w:p>
        </w:tc>
        <w:tc>
          <w:tcPr>
            <w:tcW w:type="dxa" w:w="74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Kira farkını ve abonelik giderlerini öder (sübvansiyon). Boş tutma bedelini toplar.</w:t>
            </w:r>
          </w:p>
        </w:tc>
      </w:tr>
    </w:tbl>
    <w:p>
      <w:pPr>
        <w:spacing w:after="100"/>
      </w:pPr>
    </w:p>
    <w:p>
      <w:pPr>
        <w:pStyle w:val="Heading2"/>
        <w:spacing w:after="100" w:before="240"/>
      </w:pPr>
      <w:r>
        <w:rPr>
          <w:rFonts w:ascii="Arial" w:cs="Arial" w:eastAsia="Arial" w:hAnsi="Arial"/>
          <w:b/>
          <w:bCs/>
          <w:color w:val="1F4E79"/>
          <w:sz w:val="26"/>
          <w:szCs w:val="26"/>
        </w:rPr>
        <w:t xml:space="preserve">3.3 Para adım adım nasıl akıyor</w:t>
      </w:r>
    </w:p>
    <w:p>
      <w:pPr>
        <w:pStyle w:val="ListParagraph"/>
        <w:numPr>
          <w:ilvl w:val="0"/>
          <w:numId w:val="3"/>
        </w:numPr>
        <w:spacing w:after="70" w:line="290"/>
      </w:pPr>
      <w:r>
        <w:rPr>
          <w:rFonts w:ascii="Arial" w:cs="Arial" w:eastAsia="Arial" w:hAnsi="Arial"/>
          <w:b/>
          <w:bCs/>
          <w:color w:val="1F2A37"/>
          <w:sz w:val="22"/>
          <w:szCs w:val="22"/>
        </w:rPr>
        <w:t xml:space="preserve">Daire havuza girer. </w:t>
      </w:r>
      <w:r>
        <w:rPr>
          <w:rFonts w:ascii="Arial" w:cs="Arial" w:eastAsia="Arial" w:hAnsi="Arial"/>
          <w:color w:val="1F2A37"/>
          <w:sz w:val="22"/>
          <w:szCs w:val="22"/>
        </w:rPr>
        <w:t xml:space="preserve">Anapara dairenin o günkü değeridir. Senet enflasyona endeksli olduğu için anapara reel olarak korunur.</w:t>
      </w:r>
    </w:p>
    <w:p>
      <w:pPr>
        <w:pStyle w:val="ListParagraph"/>
        <w:numPr>
          <w:ilvl w:val="0"/>
          <w:numId w:val="3"/>
        </w:numPr>
        <w:spacing w:after="70" w:line="290"/>
      </w:pPr>
      <w:r>
        <w:rPr>
          <w:rFonts w:ascii="Arial" w:cs="Arial" w:eastAsia="Arial" w:hAnsi="Arial"/>
          <w:b/>
          <w:bCs/>
          <w:color w:val="1F2A37"/>
          <w:sz w:val="22"/>
          <w:szCs w:val="22"/>
        </w:rPr>
        <w:t xml:space="preserve">Havuz daireyi kiralar. </w:t>
      </w:r>
      <w:r>
        <w:rPr>
          <w:rFonts w:ascii="Arial" w:cs="Arial" w:eastAsia="Arial" w:hAnsi="Arial"/>
          <w:color w:val="1F2A37"/>
          <w:sz w:val="22"/>
          <w:szCs w:val="22"/>
        </w:rPr>
        <w:t xml:space="preserve">Havuz sahibe değil, piyasa kirası düzeyinde bir kira alır. Kiranın bir kısmını kiracı öder, kalanını devlet ödeyerek havuza tamamlar.</w:t>
      </w:r>
    </w:p>
    <w:p>
      <w:pPr>
        <w:pStyle w:val="ListParagraph"/>
        <w:numPr>
          <w:ilvl w:val="0"/>
          <w:numId w:val="3"/>
        </w:numPr>
        <w:spacing w:after="70" w:line="290"/>
      </w:pPr>
      <w:r>
        <w:rPr>
          <w:rFonts w:ascii="Arial" w:cs="Arial" w:eastAsia="Arial" w:hAnsi="Arial"/>
          <w:b/>
          <w:bCs/>
          <w:color w:val="1F2A37"/>
          <w:sz w:val="22"/>
          <w:szCs w:val="22"/>
        </w:rPr>
        <w:t xml:space="preserve">Havuz giderlerini öder. </w:t>
      </w:r>
      <w:r>
        <w:rPr>
          <w:rFonts w:ascii="Arial" w:cs="Arial" w:eastAsia="Arial" w:hAnsi="Arial"/>
          <w:color w:val="1F2A37"/>
          <w:sz w:val="22"/>
          <w:szCs w:val="22"/>
        </w:rPr>
        <w:t xml:space="preserve">Emlak vergisi (binde 2, üst sınır), DASK (yaklaşık 2 bin TL), aidat (İstanbul ortalaması ayda 3.330 TL), bakım (değerin yılda %1'i). Bu giderler kiradan düşer.</w:t>
      </w:r>
    </w:p>
    <w:p>
      <w:pPr>
        <w:pStyle w:val="ListParagraph"/>
        <w:numPr>
          <w:ilvl w:val="0"/>
          <w:numId w:val="3"/>
        </w:numPr>
        <w:spacing w:after="70" w:line="290"/>
      </w:pPr>
      <w:r>
        <w:rPr>
          <w:rFonts w:ascii="Arial" w:cs="Arial" w:eastAsia="Arial" w:hAnsi="Arial"/>
          <w:b/>
          <w:bCs/>
          <w:color w:val="1F2A37"/>
          <w:sz w:val="22"/>
          <w:szCs w:val="22"/>
        </w:rPr>
        <w:t xml:space="preserve">Net kira senedi geri öder. </w:t>
      </w:r>
      <w:r>
        <w:rPr>
          <w:rFonts w:ascii="Arial" w:cs="Arial" w:eastAsia="Arial" w:hAnsi="Arial"/>
          <w:color w:val="1F2A37"/>
          <w:sz w:val="22"/>
          <w:szCs w:val="22"/>
        </w:rPr>
        <w:t xml:space="preserve">Her yıl net kira, anaparanın bir kısmını reel olarak azaltır. Yirmi yılda ödenen pay yaklaşık %75 ile %83 arasındadır (lüks ayrılırsa daha yüksek); kalan anapara 20. yılda hâlâ durur.</w:t>
      </w:r>
    </w:p>
    <w:p>
      <w:pPr>
        <w:pStyle w:val="ListParagraph"/>
        <w:numPr>
          <w:ilvl w:val="0"/>
          <w:numId w:val="3"/>
        </w:numPr>
        <w:spacing w:after="70" w:line="290"/>
      </w:pPr>
      <w:r>
        <w:rPr>
          <w:rFonts w:ascii="Arial" w:cs="Arial" w:eastAsia="Arial" w:hAnsi="Arial"/>
          <w:b/>
          <w:bCs/>
          <w:color w:val="1F2A37"/>
          <w:sz w:val="22"/>
          <w:szCs w:val="22"/>
        </w:rPr>
        <w:t xml:space="preserve">Boş tutanlar bedel öder. </w:t>
      </w:r>
      <w:r>
        <w:rPr>
          <w:rFonts w:ascii="Arial" w:cs="Arial" w:eastAsia="Arial" w:hAnsi="Arial"/>
          <w:color w:val="1F2A37"/>
          <w:sz w:val="22"/>
          <w:szCs w:val="22"/>
        </w:rPr>
        <w:t xml:space="preserve">Sisteme girmeyip daireyi boş tutan sahip yıllık bir bedel öder. Bu para sübvansiyonu karşılamaya gider.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4D0" w:sz="4"/>
              <w:left w:val="single" w:color="B8C4D0" w:sz="4"/>
              <w:bottom w:val="single" w:color="B8C4D0" w:sz="4"/>
              <w:right w:val="single" w:color="B8C4D0" w:sz="4"/>
            </w:tcBorders>
            <w:shd w:fill="EAF1F8" w:color="auto" w:val="clear"/>
            <w:tcMar>
              <w:top w:type="dxa" w:w="120"/>
              <w:left w:type="dxa" w:w="160"/>
              <w:bottom w:type="dxa" w:w="120"/>
              <w:right w:type="dxa" w:w="160"/>
            </w:tcMar>
          </w:tcPr>
          <w:p>
            <w:pPr>
              <w:spacing w:after="60"/>
            </w:pPr>
            <w:r>
              <w:rPr>
                <w:rFonts w:ascii="Arial" w:cs="Arial" w:eastAsia="Arial" w:hAnsi="Arial"/>
                <w:b/>
                <w:bCs/>
                <w:color w:val="1F4E79"/>
                <w:sz w:val="22"/>
                <w:szCs w:val="22"/>
              </w:rPr>
              <w:t xml:space="preserve">Önemli bir ayrım</w:t>
            </w:r>
          </w:p>
          <w:p>
            <w:pPr>
              <w:spacing w:after="50" w:line="280"/>
            </w:pPr>
            <w:r>
              <w:rPr>
                <w:rFonts w:ascii="Arial" w:cs="Arial" w:eastAsia="Arial" w:hAnsi="Arial"/>
                <w:color w:val="1F2A37"/>
                <w:sz w:val="22"/>
                <w:szCs w:val="22"/>
              </w:rPr>
              <w:t xml:space="preserve">Havuz her durumda tam kirayı alır. Kiracının ne kadarını ödediği sahibe ödenen geri ödemeyi değiştirmez. Kiracı kiranın tamamını ödese sübvansiyon sıfırlanır, geri ödeme aynı kalır. Yani sübvansiyon boş stoğu kullandırmanın maliyeti değil, "sosyal kira" kararının maliyetidir. İkisi ayrı tartışılmalıdır.</w:t>
            </w:r>
          </w:p>
        </w:tc>
      </w:tr>
    </w:tbl>
    <w:p>
      <w:pPr>
        <w:pStyle w:val="Heading1"/>
        <w:spacing w:after="160" w:before="360"/>
      </w:pPr>
      <w:r>
        <w:rPr>
          <w:rFonts w:ascii="Arial" w:cs="Arial" w:eastAsia="Arial" w:hAnsi="Arial"/>
          <w:b/>
          <w:bCs/>
          <w:color w:val="1F4E79"/>
          <w:sz w:val="32"/>
          <w:szCs w:val="32"/>
        </w:rPr>
        <w:t xml:space="preserve">4. Üç bölge: HEKİS, tampon ve lüks</w:t>
      </w:r>
    </w:p>
    <w:p>
      <w:pPr>
        <w:spacing w:after="120" w:line="300"/>
      </w:pPr>
      <w:r>
        <w:rPr>
          <w:rFonts w:ascii="Arial" w:cs="Arial" w:eastAsia="Arial" w:hAnsi="Arial"/>
          <w:color w:val="1F2A37"/>
          <w:sz w:val="22"/>
          <w:szCs w:val="22"/>
        </w:rPr>
        <w:t xml:space="preserve">Boş stok, dairelerin değer sırasına göre üç bölgeye ayrılır. Her bölge farklı işler.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500"/>
        <w:gridCol w:w="3838"/>
      </w:tblGrid>
      <w:tr>
        <w:trPr>
          <w:tblHeader/>
        </w:trPr>
        <w:tc>
          <w:tcPr>
            <w:tcW w:type="dxa" w:w="1800"/>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Bölge</w:t>
            </w:r>
          </w:p>
        </w:tc>
        <w:tc>
          <w:tcPr>
            <w:tcW w:type="dxa" w:w="1500"/>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Payı</w:t>
            </w:r>
          </w:p>
        </w:tc>
        <w:tc>
          <w:tcPr>
            <w:tcW w:type="dxa" w:w="2500"/>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Kim</w:t>
            </w:r>
          </w:p>
        </w:tc>
        <w:tc>
          <w:tcPr>
            <w:tcW w:type="dxa" w:w="3838"/>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Nasıl işliyor</w:t>
            </w:r>
          </w:p>
        </w:tc>
      </w:tr>
      <w:tr>
        <w:trPr>
          <w:tblHeader w:val="false"/>
        </w:trPr>
        <w:tc>
          <w:tcPr>
            <w:tcW w:type="dxa" w:w="18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HEKİS (havuz)</w:t>
            </w:r>
          </w:p>
        </w:tc>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Alt %41</w:t>
            </w:r>
          </w:p>
        </w:tc>
        <w:tc>
          <w:tcPr>
            <w:tcW w:type="dxa" w:w="2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Geliri düz memur maaşının (55.000 TL) altındaki haneler</w:t>
            </w:r>
          </w:p>
        </w:tc>
        <w:tc>
          <w:tcPr>
            <w:tcW w:type="dxa" w:w="38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Havuza girer, dereceli kira, abonelik desteği. Girmeyenler genel bedel öder.</w:t>
            </w:r>
          </w:p>
        </w:tc>
      </w:tr>
      <w:tr>
        <w:trPr>
          <w:tblHeader w:val="false"/>
        </w:trPr>
        <w:tc>
          <w:tcPr>
            <w:tcW w:type="dxa" w:w="18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Tampon (memur kesimi)</w:t>
            </w:r>
          </w:p>
        </w:tc>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%41-80</w:t>
            </w:r>
          </w:p>
        </w:tc>
        <w:tc>
          <w:tcPr>
            <w:tcW w:type="dxa" w:w="2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Orta gelirli haneler ve onlara uygun daireler</w:t>
            </w:r>
          </w:p>
        </w:tc>
        <w:tc>
          <w:tcPr>
            <w:tcW w:type="dxa" w:w="38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Normal piyasa sistemi. Havuza girmez. Genel bedel (%1) öder, bedel baskısıyla boşluktan çıkabilir.</w:t>
            </w:r>
          </w:p>
        </w:tc>
      </w:tr>
      <w:tr>
        <w:trPr>
          <w:tblHeader w:val="false"/>
        </w:trPr>
        <w:tc>
          <w:tcPr>
            <w:tcW w:type="dxa" w:w="18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Lüks</w:t>
            </w:r>
          </w:p>
        </w:tc>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Üst %20</w:t>
            </w:r>
          </w:p>
        </w:tc>
        <w:tc>
          <w:tcPr>
            <w:tcW w:type="dxa" w:w="2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En pahalı daireler</w:t>
            </w:r>
          </w:p>
        </w:tc>
        <w:tc>
          <w:tcPr>
            <w:tcW w:type="dxa" w:w="38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Havuz dışı. Ayrı, yüksek bedel (%5). Bedelden muaf değil.</w:t>
            </w:r>
          </w:p>
        </w:tc>
      </w:tr>
    </w:tbl>
    <w:p>
      <w:pPr>
        <w:spacing w:after="100"/>
      </w:pPr>
    </w:p>
    <w:p>
      <w:pPr>
        <w:spacing w:after="120" w:line="300"/>
      </w:pPr>
      <w:r>
        <w:rPr>
          <w:rFonts w:ascii="Arial" w:cs="Arial" w:eastAsia="Arial" w:hAnsi="Arial"/>
          <w:color w:val="1F2A37"/>
          <w:sz w:val="22"/>
          <w:szCs w:val="22"/>
        </w:rPr>
        <w:t xml:space="preserve">Neden tampon? Memur maaşı hem asgari ücretin üstünde hem lüksün altında, istikrarlı bir ara gelir düzeyini gösterir. En düşük memur maaşı (aile yardımı dahil) 70.224 TL, yani net asgari ücretin 2,50 katıdır. Düz memur (13/1) yaklaşık 55.000 TL, asgari ücretin 1,96 katıdır. Sistemin kendini finanse etmesi için gereken hane medyanı da 69.600 TL civarıdır, yani en düşük memur maaşına neredeyse eşittir. Bu bir tesadüf olabilir, ama eşiği anlaşılır kılar: "HEKİS, geliri düz memur maaşının altında olan hanelere hizmet eder."</w:t>
      </w:r>
    </w:p>
    <w:p>
      <w:pPr>
        <w:spacing w:after="120" w:line="300"/>
      </w:pPr>
      <w:r>
        <w:rPr>
          <w:rFonts w:ascii="Arial" w:cs="Arial" w:eastAsia="Arial" w:hAnsi="Arial"/>
          <w:b/>
          <w:bCs/>
          <w:color w:val="1F2A37"/>
          <w:sz w:val="22"/>
          <w:szCs w:val="22"/>
        </w:rPr>
        <w:t xml:space="preserve">Ortalama daire değerleri: </w:t>
      </w:r>
      <w:r>
        <w:rPr>
          <w:rFonts w:ascii="Arial" w:cs="Arial" w:eastAsia="Arial" w:hAnsi="Arial"/>
          <w:color w:val="1F2A37"/>
          <w:sz w:val="22"/>
          <w:szCs w:val="22"/>
        </w:rPr>
        <w:t xml:space="preserve">havuz 2,41 milyon TL (Esenyurt tipi), tampon 4,69 milyon TL, lüks 9,47 milyon TL.</w:t>
      </w:r>
    </w:p>
    <w:p>
      <w:pPr>
        <w:spacing w:after="120" w:line="300"/>
      </w:pPr>
      <w:r>
        <w:rPr>
          <w:rFonts w:ascii="Arial" w:cs="Arial" w:eastAsia="Arial" w:hAnsi="Arial"/>
          <w:b/>
          <w:bCs/>
          <w:color w:val="1F2A37"/>
          <w:sz w:val="22"/>
          <w:szCs w:val="22"/>
        </w:rPr>
        <w:t xml:space="preserve">Bir not: </w:t>
      </w:r>
      <w:r>
        <w:rPr>
          <w:rFonts w:ascii="Arial" w:cs="Arial" w:eastAsia="Arial" w:hAnsi="Arial"/>
          <w:color w:val="1F2A37"/>
          <w:sz w:val="22"/>
          <w:szCs w:val="22"/>
        </w:rPr>
        <w:t xml:space="preserve">Bu ayrım, boş konutun değer sırasına eşit dağıldığını varsayar. Gerçekte boşluk lüks ve yatırım konutlarında yoğun olabilir. O durumda havuz küçülür; sonuçlar bölüm 9'da.</w:t>
      </w:r>
    </w:p>
    <w:p>
      <w:pPr>
        <w:pStyle w:val="Heading1"/>
        <w:spacing w:after="160" w:before="360"/>
      </w:pPr>
      <w:r>
        <w:rPr>
          <w:rFonts w:ascii="Arial" w:cs="Arial" w:eastAsia="Arial" w:hAnsi="Arial"/>
          <w:b/>
          <w:bCs/>
          <w:color w:val="1F4E79"/>
          <w:sz w:val="32"/>
          <w:szCs w:val="32"/>
        </w:rPr>
        <w:t xml:space="preserve">5. Oturanın ödemesi ve sübvansiyon</w:t>
      </w:r>
    </w:p>
    <w:p>
      <w:pPr>
        <w:pStyle w:val="Heading2"/>
        <w:spacing w:after="100" w:before="240"/>
      </w:pPr>
      <w:r>
        <w:rPr>
          <w:rFonts w:ascii="Arial" w:cs="Arial" w:eastAsia="Arial" w:hAnsi="Arial"/>
          <w:b/>
          <w:bCs/>
          <w:color w:val="1F4E79"/>
          <w:sz w:val="26"/>
          <w:szCs w:val="26"/>
        </w:rPr>
        <w:t xml:space="preserve">5.1 Dereceli kira</w:t>
      </w:r>
    </w:p>
    <w:p>
      <w:pPr>
        <w:spacing w:after="120" w:line="300"/>
      </w:pPr>
      <w:r>
        <w:rPr>
          <w:rFonts w:ascii="Arial" w:cs="Arial" w:eastAsia="Arial" w:hAnsi="Arial"/>
          <w:color w:val="1F2A37"/>
          <w:sz w:val="22"/>
          <w:szCs w:val="22"/>
        </w:rPr>
        <w:t xml:space="preserve">Oturan, kiranın tamamını değil, gelirine göre hesaplanan bir tutarı öder: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4D0" w:sz="4"/>
              <w:left w:val="single" w:color="B8C4D0" w:sz="4"/>
              <w:bottom w:val="single" w:color="B8C4D0" w:sz="4"/>
              <w:right w:val="single" w:color="B8C4D0" w:sz="4"/>
            </w:tcBorders>
            <w:shd w:fill="EAF1F8" w:color="auto" w:val="clear"/>
            <w:tcMar>
              <w:top w:type="dxa" w:w="120"/>
              <w:left w:type="dxa" w:w="160"/>
              <w:bottom w:type="dxa" w:w="120"/>
              <w:right w:type="dxa" w:w="160"/>
            </w:tcMar>
          </w:tcPr>
          <w:p>
            <w:pPr>
              <w:spacing w:after="60"/>
            </w:pPr>
            <w:r>
              <w:rPr>
                <w:rFonts w:ascii="Arial" w:cs="Arial" w:eastAsia="Arial" w:hAnsi="Arial"/>
                <w:b/>
                <w:bCs/>
                <w:color w:val="1F4E79"/>
                <w:sz w:val="22"/>
                <w:szCs w:val="22"/>
              </w:rPr>
              <w:t xml:space="preserve">Kural</w:t>
            </w:r>
          </w:p>
          <w:p>
            <w:pPr>
              <w:spacing w:after="50" w:line="280"/>
            </w:pPr>
            <w:r>
              <w:rPr>
                <w:rFonts w:ascii="Arial" w:cs="Arial" w:eastAsia="Arial" w:hAnsi="Arial"/>
                <w:b/>
                <w:bCs/>
                <w:color w:val="1F2A37"/>
                <w:sz w:val="22"/>
                <w:szCs w:val="22"/>
              </w:rPr>
              <w:t xml:space="preserve">Oturanın ödemesi = en küçüğü( piyasa kirası ,  gelirinin %30'u )</w:t>
            </w:r>
          </w:p>
        </w:tc>
      </w:tr>
    </w:tbl>
    <w:p>
      <w:pPr>
        <w:spacing w:after="120" w:line="300"/>
      </w:pPr>
      <w:r>
        <w:rPr>
          <w:rFonts w:ascii="Arial" w:cs="Arial" w:eastAsia="Arial" w:hAnsi="Arial"/>
          <w:color w:val="1F2A37"/>
          <w:sz w:val="22"/>
          <w:szCs w:val="22"/>
        </w:rPr>
        <w:t xml:space="preserve">Uygun kitle, geliri düz memur maaşının altında olan haneler (gelir dağılımında yaklaşık alt %41). Bu haneler içinden kura ile seçim yapılır. Alt gelirli hane gelirinin %30'unu öder; piyasa kirasıyla farkı devlet karşılar.</w:t>
      </w:r>
    </w:p>
    <w:p>
      <w:pPr>
        <w:pStyle w:val="Heading2"/>
        <w:spacing w:after="100" w:before="240"/>
      </w:pPr>
      <w:r>
        <w:rPr>
          <w:rFonts w:ascii="Arial" w:cs="Arial" w:eastAsia="Arial" w:hAnsi="Arial"/>
          <w:b/>
          <w:bCs/>
          <w:color w:val="1F4E79"/>
          <w:sz w:val="26"/>
          <w:szCs w:val="26"/>
        </w:rPr>
        <w:t xml:space="preserve">5.2 Abonelik</w:t>
      </w:r>
    </w:p>
    <w:p>
      <w:pPr>
        <w:spacing w:after="120" w:line="300"/>
      </w:pPr>
      <w:r>
        <w:rPr>
          <w:rFonts w:ascii="Arial" w:cs="Arial" w:eastAsia="Arial" w:hAnsi="Arial"/>
          <w:color w:val="1F2A37"/>
          <w:sz w:val="22"/>
          <w:szCs w:val="22"/>
        </w:rPr>
        <w:t xml:space="preserve">Elektrik, doğalgaz ve su aboneliği devlet tarafından tam olarak karşılanır. Ortalama gider ayda yaklaşık 1.583 TL'dir: elektrik 648 TL (EPDK tarifesi, aylık 200 kWh), doğalgaz 469 TL (BOTAŞ toptan fiyatı ve yıllık 1.000 m³ varsayımı), su 466 TL (eski İSKİ tarifesi ve aylık 10 m³ varsayımı). Doğalgaz ve su rakamları alt sınırdır.</w:t>
      </w:r>
    </w:p>
    <w:p>
      <w:pPr>
        <w:pStyle w:val="Heading2"/>
        <w:spacing w:after="100" w:before="240"/>
      </w:pPr>
      <w:r>
        <w:rPr>
          <w:rFonts w:ascii="Arial" w:cs="Arial" w:eastAsia="Arial" w:hAnsi="Arial"/>
          <w:b/>
          <w:bCs/>
          <w:color w:val="1F4E79"/>
          <w:sz w:val="26"/>
          <w:szCs w:val="26"/>
        </w:rPr>
        <w:t xml:space="preserve">5.3 Aidat</w:t>
      </w:r>
    </w:p>
    <w:p>
      <w:pPr>
        <w:spacing w:after="120" w:line="300"/>
      </w:pPr>
      <w:r>
        <w:rPr>
          <w:rFonts w:ascii="Arial" w:cs="Arial" w:eastAsia="Arial" w:hAnsi="Arial"/>
          <w:color w:val="1F2A37"/>
          <w:sz w:val="22"/>
          <w:szCs w:val="22"/>
        </w:rPr>
        <w:t xml:space="preserve">Aidat havuzdan ödenir. Aidatı oturana geçirmek geri ödemeyi %75'ten %91'e çıkarırdı ama oturanın konut yükünü gelirinin %30'undan %34-40'ına çıkarırdı. Bu yüzden aidat havuzda bırakılmıştır.</w:t>
      </w:r>
    </w:p>
    <w:p>
      <w:pPr>
        <w:pStyle w:val="Heading2"/>
        <w:spacing w:after="100" w:before="240"/>
      </w:pPr>
      <w:r>
        <w:rPr>
          <w:rFonts w:ascii="Arial" w:cs="Arial" w:eastAsia="Arial" w:hAnsi="Arial"/>
          <w:b/>
          <w:bCs/>
          <w:color w:val="1F4E79"/>
          <w:sz w:val="26"/>
          <w:szCs w:val="26"/>
        </w:rPr>
        <w:t xml:space="preserve">5.4 Yerleşen hane için etki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838"/>
      </w:tblGrid>
      <w:tr>
        <w:trPr>
          <w:tblHeader/>
        </w:trPr>
        <w:tc>
          <w:tcPr>
            <w:tcW w:type="dxa" w:w="2600"/>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Gelir dilimi</w:t>
            </w:r>
          </w:p>
        </w:tc>
        <w:tc>
          <w:tcPr>
            <w:tcW w:type="dxa" w:w="2200"/>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Hane geliri/ay (TL)</w:t>
            </w:r>
          </w:p>
        </w:tc>
        <w:tc>
          <w:tcPr>
            <w:tcW w:type="dxa" w:w="2000"/>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Programsız yük</w:t>
            </w:r>
          </w:p>
        </w:tc>
        <w:tc>
          <w:tcPr>
            <w:tcW w:type="dxa" w:w="2838"/>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Programlı yük</w:t>
            </w:r>
          </w:p>
        </w:tc>
      </w:tr>
      <w:tr>
        <w:trPr>
          <w:tblHeader w:val="false"/>
        </w:trPr>
        <w:tc>
          <w:tcPr>
            <w:tcW w:type="dxa" w:w="26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Alt %10</w:t>
            </w:r>
          </w:p>
        </w:tc>
        <w:tc>
          <w:tcPr>
            <w:tcW w:type="dxa" w:w="22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23.700</w:t>
            </w:r>
          </w:p>
        </w:tc>
        <w:tc>
          <w:tcPr>
            <w:tcW w:type="dxa" w:w="20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%81</w:t>
            </w:r>
          </w:p>
        </w:tc>
        <w:tc>
          <w:tcPr>
            <w:tcW w:type="dxa" w:w="28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%30</w:t>
            </w:r>
          </w:p>
        </w:tc>
      </w:tr>
      <w:tr>
        <w:trPr>
          <w:tblHeader w:val="false"/>
        </w:trPr>
        <w:tc>
          <w:tcPr>
            <w:tcW w:type="dxa" w:w="26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Alt %20</w:t>
            </w:r>
          </w:p>
        </w:tc>
        <w:tc>
          <w:tcPr>
            <w:tcW w:type="dxa" w:w="22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33.800</w:t>
            </w:r>
          </w:p>
        </w:tc>
        <w:tc>
          <w:tcPr>
            <w:tcW w:type="dxa" w:w="20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%57</w:t>
            </w:r>
          </w:p>
        </w:tc>
        <w:tc>
          <w:tcPr>
            <w:tcW w:type="dxa" w:w="28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%30</w:t>
            </w:r>
          </w:p>
        </w:tc>
      </w:tr>
      <w:tr>
        <w:trPr>
          <w:tblHeader w:val="false"/>
        </w:trPr>
        <w:tc>
          <w:tcPr>
            <w:tcW w:type="dxa" w:w="26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Alt %30</w:t>
            </w:r>
          </w:p>
        </w:tc>
        <w:tc>
          <w:tcPr>
            <w:tcW w:type="dxa" w:w="22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43.600</w:t>
            </w:r>
          </w:p>
        </w:tc>
        <w:tc>
          <w:tcPr>
            <w:tcW w:type="dxa" w:w="20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%44</w:t>
            </w:r>
          </w:p>
        </w:tc>
        <w:tc>
          <w:tcPr>
            <w:tcW w:type="dxa" w:w="28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%30</w:t>
            </w:r>
          </w:p>
        </w:tc>
      </w:tr>
      <w:tr>
        <w:trPr>
          <w:tblHeader w:val="false"/>
        </w:trPr>
        <w:tc>
          <w:tcPr>
            <w:tcW w:type="dxa" w:w="26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Alt %40</w:t>
            </w:r>
          </w:p>
        </w:tc>
        <w:tc>
          <w:tcPr>
            <w:tcW w:type="dxa" w:w="22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54.200</w:t>
            </w:r>
          </w:p>
        </w:tc>
        <w:tc>
          <w:tcPr>
            <w:tcW w:type="dxa" w:w="20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%36</w:t>
            </w:r>
          </w:p>
        </w:tc>
        <w:tc>
          <w:tcPr>
            <w:tcW w:type="dxa" w:w="28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%30</w:t>
            </w:r>
          </w:p>
        </w:tc>
      </w:tr>
    </w:tbl>
    <w:p>
      <w:pPr>
        <w:spacing w:after="120" w:line="300"/>
      </w:pPr>
      <w:r>
        <w:rPr>
          <w:rFonts w:ascii="Arial" w:cs="Arial" w:eastAsia="Arial" w:hAnsi="Arial"/>
          <w:color w:val="1F2A37"/>
          <w:sz w:val="22"/>
          <w:szCs w:val="22"/>
        </w:rPr>
        <w:t xml:space="preserve">Programsız durum, kiracının Esenyurt düzeyinde piyasa kirası ve abonelik ödediğini varsayar. Düşük gelirli bir hane gerçekte bunun yerine ailesiyle yaşıyor olabilir; bu durumda kazanç abartılmış olur.</w:t>
      </w:r>
    </w:p>
    <w:p>
      <w:pPr>
        <w:pStyle w:val="Heading1"/>
        <w:spacing w:after="160" w:before="360"/>
      </w:pPr>
      <w:r>
        <w:rPr>
          <w:rFonts w:ascii="Arial" w:cs="Arial" w:eastAsia="Arial" w:hAnsi="Arial"/>
          <w:b/>
          <w:bCs/>
          <w:color w:val="1F4E79"/>
          <w:sz w:val="32"/>
          <w:szCs w:val="32"/>
        </w:rPr>
        <w:t xml:space="preserve">6. Boş tutma bedeli</w:t>
      </w:r>
    </w:p>
    <w:p>
      <w:pPr>
        <w:spacing w:after="120" w:line="300"/>
      </w:pPr>
      <w:r>
        <w:rPr>
          <w:rFonts w:ascii="Arial" w:cs="Arial" w:eastAsia="Arial" w:hAnsi="Arial"/>
          <w:color w:val="1F2A37"/>
          <w:sz w:val="22"/>
          <w:szCs w:val="22"/>
        </w:rPr>
        <w:t xml:space="preserve">Boş tutma bedeli, sisteme girmeyen ve daireyi boş bırakan sahibin ödediği yıllık tutardır. Dairenin değerinin yüzdesi olarak hesaplanır.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038"/>
      </w:tblGrid>
      <w:tr>
        <w:trPr>
          <w:tblHeader/>
        </w:trPr>
        <w:tc>
          <w:tcPr>
            <w:tcW w:type="dxa" w:w="2600"/>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Bölge</w:t>
            </w:r>
          </w:p>
        </w:tc>
        <w:tc>
          <w:tcPr>
            <w:tcW w:type="dxa" w:w="2000"/>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Bedel</w:t>
            </w:r>
          </w:p>
        </w:tc>
        <w:tc>
          <w:tcPr>
            <w:tcW w:type="dxa" w:w="5038"/>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Not</w:t>
            </w:r>
          </w:p>
        </w:tc>
      </w:tr>
      <w:tr>
        <w:trPr>
          <w:tblHeader w:val="false"/>
        </w:trPr>
        <w:tc>
          <w:tcPr>
            <w:tcW w:type="dxa" w:w="26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Havuza girmeyen (HEKİS bölgesi)</w:t>
            </w:r>
          </w:p>
        </w:tc>
        <w:tc>
          <w:tcPr>
            <w:tcW w:type="dxa" w:w="20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%1</w:t>
            </w:r>
          </w:p>
        </w:tc>
        <w:tc>
          <w:tcPr>
            <w:tcW w:type="dxa" w:w="50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Genel bedel.</w:t>
            </w:r>
          </w:p>
        </w:tc>
      </w:tr>
      <w:tr>
        <w:trPr>
          <w:tblHeader w:val="false"/>
        </w:trPr>
        <w:tc>
          <w:tcPr>
            <w:tcW w:type="dxa" w:w="26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Tampon</w:t>
            </w:r>
          </w:p>
        </w:tc>
        <w:tc>
          <w:tcPr>
            <w:tcW w:type="dxa" w:w="20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%1</w:t>
            </w:r>
          </w:p>
        </w:tc>
        <w:tc>
          <w:tcPr>
            <w:tcW w:type="dxa" w:w="50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Genel bedel. İsteğe bağlı olarak sıfırlanabilir.</w:t>
            </w:r>
          </w:p>
        </w:tc>
      </w:tr>
      <w:tr>
        <w:trPr>
          <w:tblHeader w:val="false"/>
        </w:trPr>
        <w:tc>
          <w:tcPr>
            <w:tcW w:type="dxa" w:w="26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Lüks</w:t>
            </w:r>
          </w:p>
        </w:tc>
        <w:tc>
          <w:tcPr>
            <w:tcW w:type="dxa" w:w="20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%5</w:t>
            </w:r>
          </w:p>
        </w:tc>
        <w:tc>
          <w:tcPr>
            <w:tcW w:type="dxa" w:w="50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Ayrı tarife. Vancouver'ın en yüksek düzeyi.</w:t>
            </w:r>
          </w:p>
        </w:tc>
      </w:tr>
    </w:tbl>
    <w:p>
      <w:pPr>
        <w:spacing w:after="100"/>
      </w:pPr>
    </w:p>
    <w:p>
      <w:pPr>
        <w:pStyle w:val="Heading2"/>
        <w:spacing w:after="100" w:before="240"/>
      </w:pPr>
      <w:r>
        <w:rPr>
          <w:rFonts w:ascii="Arial" w:cs="Arial" w:eastAsia="Arial" w:hAnsi="Arial"/>
          <w:b/>
          <w:bCs/>
          <w:color w:val="1F4E79"/>
          <w:sz w:val="26"/>
          <w:szCs w:val="26"/>
        </w:rPr>
        <w:t xml:space="preserve">6.1 Bedel kimde ne yaratır</w:t>
      </w:r>
    </w:p>
    <w:p>
      <w:pPr>
        <w:pStyle w:val="ListParagraph"/>
        <w:numPr>
          <w:ilvl w:val="0"/>
          <w:numId w:val="2"/>
        </w:numPr>
        <w:spacing w:after="70" w:line="290"/>
      </w:pPr>
      <w:r>
        <w:rPr>
          <w:rFonts w:ascii="Arial" w:cs="Arial" w:eastAsia="Arial" w:hAnsi="Arial"/>
          <w:b/>
          <w:bCs/>
          <w:color w:val="1F2A37"/>
          <w:sz w:val="22"/>
          <w:szCs w:val="22"/>
        </w:rPr>
        <w:t xml:space="preserve">Bosluğa son verme. </w:t>
      </w:r>
      <w:r>
        <w:rPr>
          <w:rFonts w:ascii="Arial" w:cs="Arial" w:eastAsia="Arial" w:hAnsi="Arial"/>
          <w:color w:val="1F2A37"/>
          <w:sz w:val="22"/>
          <w:szCs w:val="22"/>
        </w:rPr>
        <w:t xml:space="preserve">Bedel arttıkça bazı sahipler dairelerini satar, kiralar ya da kendileri oturur. Vancouver'da bedel %1'den %3-5'e çıkarken boş konut sayısı 2017-2022'de %54 azaldı. Modelde bu tepki Vancouver'a bağlanmıştır: %1'de %29, %3'te %54, %5'te %62 (tavan %65).</w:t>
      </w:r>
    </w:p>
    <w:p>
      <w:pPr>
        <w:pStyle w:val="ListParagraph"/>
        <w:numPr>
          <w:ilvl w:val="0"/>
          <w:numId w:val="2"/>
        </w:numPr>
        <w:spacing w:after="70" w:line="290"/>
      </w:pPr>
      <w:r>
        <w:rPr>
          <w:rFonts w:ascii="Arial" w:cs="Arial" w:eastAsia="Arial" w:hAnsi="Arial"/>
          <w:b/>
          <w:bCs/>
          <w:color w:val="1F2A37"/>
          <w:sz w:val="22"/>
          <w:szCs w:val="22"/>
        </w:rPr>
        <w:t xml:space="preserve">Kaçınma. </w:t>
      </w:r>
      <w:r>
        <w:rPr>
          <w:rFonts w:ascii="Arial" w:cs="Arial" w:eastAsia="Arial" w:hAnsi="Arial"/>
          <w:color w:val="1F2A37"/>
          <w:sz w:val="22"/>
          <w:szCs w:val="22"/>
        </w:rPr>
        <w:t xml:space="preserve">%5'in üstündeki her puan için tahsilat 5 puan düşer (hisse bölme, şirket devri gibi yollar). Bu yüzden lüks bedelin geliri %8,2 civarında tepe yapar ve sonra düşer; yaklaşık 5,5 milyar TL/yıl.</w:t>
      </w:r>
    </w:p>
    <w:p>
      <w:pPr>
        <w:pStyle w:val="ListParagraph"/>
        <w:numPr>
          <w:ilvl w:val="0"/>
          <w:numId w:val="2"/>
        </w:numPr>
        <w:spacing w:after="70" w:line="290"/>
      </w:pPr>
      <w:r>
        <w:rPr>
          <w:rFonts w:ascii="Arial" w:cs="Arial" w:eastAsia="Arial" w:hAnsi="Arial"/>
          <w:b/>
          <w:bCs/>
          <w:color w:val="1F2A37"/>
          <w:sz w:val="22"/>
          <w:szCs w:val="22"/>
        </w:rPr>
        <w:t xml:space="preserve">Tahsilat. </w:t>
      </w:r>
      <w:r>
        <w:rPr>
          <w:rFonts w:ascii="Arial" w:cs="Arial" w:eastAsia="Arial" w:hAnsi="Arial"/>
          <w:color w:val="1F2A37"/>
          <w:sz w:val="22"/>
          <w:szCs w:val="22"/>
        </w:rPr>
        <w:t xml:space="preserve">İlan edilen bedel ile gerçekten toplanan arasında fark vardır. İrlanda'da işaretlenen konutların yalnızca yaklaşık %6'sı bedele tabi kaldı, çünkü sahipler "oturuluyor" beyan etti ve çoğu muafiyet aldı. Modelde etkin tahsilat %30'dur (en olası senaryo), bu bir varsayımdır.</w:t>
      </w:r>
    </w:p>
    <w:p>
      <w:pPr>
        <w:pStyle w:val="Heading2"/>
        <w:spacing w:after="100" w:before="240"/>
      </w:pPr>
      <w:r>
        <w:rPr>
          <w:rFonts w:ascii="Arial" w:cs="Arial" w:eastAsia="Arial" w:hAnsi="Arial"/>
          <w:b/>
          <w:bCs/>
          <w:color w:val="1F4E79"/>
          <w:sz w:val="26"/>
          <w:szCs w:val="26"/>
        </w:rPr>
        <w:t xml:space="preserve">6.2 Neden ödeme gücü değil de tespit sorun</w:t>
      </w:r>
    </w:p>
    <w:p>
      <w:pPr>
        <w:spacing w:after="120" w:line="300"/>
      </w:pPr>
      <w:r>
        <w:rPr>
          <w:rFonts w:ascii="Arial" w:cs="Arial" w:eastAsia="Arial" w:hAnsi="Arial"/>
          <w:color w:val="1F2A37"/>
          <w:sz w:val="22"/>
          <w:szCs w:val="22"/>
        </w:rPr>
        <w:t xml:space="preserve">Boş konut sahipleri genellikle üst gelirli ve varlık zengindir. Tahsilatın düşmesinin ana sebebi ödeyememeleri değil, dairenin gerçekten boş olduğunu kanıtlamanın zorluğudur: beyan, muafiyet (tadilat, miras, hastalık) ve tespit. Elektrik tüketimi verisi bu tespiti kolaylaştırabilir.</w:t>
      </w:r>
    </w:p>
    <w:p>
      <w:pPr>
        <w:pStyle w:val="Heading1"/>
        <w:spacing w:after="160" w:before="360"/>
      </w:pPr>
      <w:r>
        <w:rPr>
          <w:rFonts w:ascii="Arial" w:cs="Arial" w:eastAsia="Arial" w:hAnsi="Arial"/>
          <w:b/>
          <w:bCs/>
          <w:color w:val="1F4E79"/>
          <w:sz w:val="32"/>
          <w:szCs w:val="32"/>
        </w:rPr>
        <w:t xml:space="preserve">7. Sahip neden girer ya da girmez</w:t>
      </w:r>
    </w:p>
    <w:p>
      <w:pPr>
        <w:spacing w:after="120" w:line="300"/>
      </w:pPr>
      <w:r>
        <w:rPr>
          <w:rFonts w:ascii="Arial" w:cs="Arial" w:eastAsia="Arial" w:hAnsi="Arial"/>
          <w:color w:val="1F2A37"/>
          <w:sz w:val="22"/>
          <w:szCs w:val="22"/>
        </w:rPr>
        <w:t xml:space="preserve">Sahibin kararı modelin en kritik ve en az kanıtlanmış parçasıdır. Mantığı basit: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4D0" w:sz="4"/>
              <w:left w:val="single" w:color="B8C4D0" w:sz="4"/>
              <w:bottom w:val="single" w:color="B8C4D0" w:sz="4"/>
              <w:right w:val="single" w:color="B8C4D0" w:sz="4"/>
            </w:tcBorders>
            <w:shd w:fill="EAF1F8" w:color="auto" w:val="clear"/>
            <w:tcMar>
              <w:top w:type="dxa" w:w="120"/>
              <w:left w:type="dxa" w:w="160"/>
              <w:bottom w:type="dxa" w:w="120"/>
              <w:right w:type="dxa" w:w="160"/>
            </w:tcMar>
          </w:tcPr>
          <w:p>
            <w:pPr>
              <w:spacing w:after="60"/>
            </w:pPr>
            <w:r>
              <w:rPr>
                <w:rFonts w:ascii="Arial" w:cs="Arial" w:eastAsia="Arial" w:hAnsi="Arial"/>
                <w:b/>
                <w:bCs/>
                <w:color w:val="1F4E79"/>
                <w:sz w:val="22"/>
                <w:szCs w:val="22"/>
              </w:rPr>
              <w:t xml:space="preserve">Karar kuralı</w:t>
            </w:r>
          </w:p>
          <w:p>
            <w:pPr>
              <w:spacing w:after="50" w:line="280"/>
            </w:pPr>
            <w:r>
              <w:rPr>
                <w:rFonts w:ascii="Arial" w:cs="Arial" w:eastAsia="Arial" w:hAnsi="Arial"/>
                <w:color w:val="1F2A37"/>
                <w:sz w:val="22"/>
                <w:szCs w:val="22"/>
              </w:rPr>
              <w:t xml:space="preserve">Sahip iki şeyi karşılaştırır: (a) boş tutarsa beklediği reel getiri = beklenen reel fiyat artışı eksi tutma maliyeti (değerin yılda yaklaşık %1,05'i); (b) senede girerse reel getiri = sıfır (senet enflasyondan korunur, kupon yok).</w:t>
            </w:r>
          </w:p>
          <w:p>
            <w:pPr>
              <w:spacing w:after="50" w:line="280"/>
            </w:pPr>
            <w:r>
              <w:rPr>
                <w:rFonts w:ascii="Arial" w:cs="Arial" w:eastAsia="Arial" w:hAnsi="Arial"/>
                <w:color w:val="1F2A37"/>
                <w:sz w:val="22"/>
                <w:szCs w:val="22"/>
              </w:rPr>
              <w:t xml:space="preserve">Beklenen reel fiyat artışı, tutma maliyetinden yüksekse boş tutmak kârlıdır; sahip girmez. Aksi halde girer.</w:t>
            </w:r>
          </w:p>
        </w:tc>
      </w:tr>
    </w:tbl>
    <w:p>
      <w:pPr>
        <w:spacing w:after="100"/>
      </w:pPr>
    </w:p>
    <w:p>
      <w:pPr>
        <w:spacing w:after="120" w:line="300"/>
      </w:pPr>
      <w:r>
        <w:rPr>
          <w:rFonts w:ascii="Arial" w:cs="Arial" w:eastAsia="Arial" w:hAnsi="Arial"/>
          <w:color w:val="1F2A37"/>
          <w:sz w:val="22"/>
          <w:szCs w:val="22"/>
        </w:rPr>
        <w:t xml:space="preserve">Katılım oranı bu farkın bir fonksiyonudur ve bir tavanla sınırlıdır. Tavan, "boş stoğun kullanıma uygun olan payı"dır (en olası senaryoda %25). Hiçbir veri bu tavanı ve eğimi kalibre etmez.</w:t>
      </w:r>
    </w:p>
    <w:p>
      <w:pPr>
        <w:pStyle w:val="Heading2"/>
        <w:spacing w:after="100" w:before="240"/>
      </w:pPr>
      <w:r>
        <w:rPr>
          <w:rFonts w:ascii="Arial" w:cs="Arial" w:eastAsia="Arial" w:hAnsi="Arial"/>
          <w:b/>
          <w:bCs/>
          <w:color w:val="1F4E79"/>
          <w:sz w:val="26"/>
          <w:szCs w:val="26"/>
        </w:rPr>
        <w:t xml:space="preserve">7.1 Faiz kanalı</w:t>
      </w:r>
    </w:p>
    <w:p>
      <w:pPr>
        <w:spacing w:after="120" w:line="300"/>
      </w:pPr>
      <w:r>
        <w:rPr>
          <w:rFonts w:ascii="Arial" w:cs="Arial" w:eastAsia="Arial" w:hAnsi="Arial"/>
          <w:color w:val="1F2A37"/>
          <w:sz w:val="22"/>
          <w:szCs w:val="22"/>
        </w:rPr>
        <w:t xml:space="preserve">2019-2025 verisinde reel faiz ile reel konut fiyat artışı arasında güçlü bir ters ilişki var: reel konut artışı ≈ 0,005 − 1,35 × reel faiz (R² 0,81, ama yalnızca 7 gözlem, nedensellik değil). Bugünkü reel faiz (politika faizi %37, enflasyon %31,5) yaklaşık +%4,2. Bu düzeyde konut reel olarak değer kaybediyor ve sahiplerin sisteme girmesi mantıklıdır.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4D0" w:sz="4"/>
              <w:left w:val="single" w:color="B8C4D0" w:sz="4"/>
              <w:bottom w:val="single" w:color="B8C4D0" w:sz="4"/>
              <w:right w:val="single" w:color="B8C4D0" w:sz="4"/>
            </w:tcBorders>
            <w:shd w:fill="FFF4E0" w:color="auto" w:val="clear"/>
            <w:tcMar>
              <w:top w:type="dxa" w:w="120"/>
              <w:left w:type="dxa" w:w="160"/>
              <w:bottom w:type="dxa" w:w="120"/>
              <w:right w:type="dxa" w:w="160"/>
            </w:tcMar>
          </w:tcPr>
          <w:p>
            <w:pPr>
              <w:spacing w:after="60"/>
            </w:pPr>
            <w:r>
              <w:rPr>
                <w:rFonts w:ascii="Arial" w:cs="Arial" w:eastAsia="Arial" w:hAnsi="Arial"/>
                <w:b/>
                <w:bCs/>
                <w:color w:val="1F4E79"/>
                <w:sz w:val="22"/>
                <w:szCs w:val="22"/>
              </w:rPr>
              <w:t xml:space="preserve">Pencere ne kadar açık</w:t>
            </w:r>
          </w:p>
          <w:p>
            <w:pPr>
              <w:spacing w:after="50" w:line="280"/>
            </w:pPr>
            <w:r>
              <w:rPr>
                <w:rFonts w:ascii="Arial" w:cs="Arial" w:eastAsia="Arial" w:hAnsi="Arial"/>
                <w:color w:val="1F2A37"/>
                <w:sz w:val="22"/>
                <w:szCs w:val="22"/>
              </w:rPr>
              <w:t xml:space="preserve">Katılım penceresi, reel faiz yaklaşık −%0,4'ün altına inene kadar açık kalır. Bugünkü tampon yaklaşık 4,6 puandır.</w:t>
            </w:r>
          </w:p>
          <w:p>
            <w:pPr>
              <w:spacing w:after="50" w:line="280"/>
            </w:pPr>
            <w:r>
              <w:rPr>
                <w:rFonts w:ascii="Arial" w:cs="Arial" w:eastAsia="Arial" w:hAnsi="Arial"/>
                <w:color w:val="1F2A37"/>
                <w:sz w:val="22"/>
                <w:szCs w:val="22"/>
              </w:rPr>
              <w:t xml:space="preserve">Reel faiz sıfıra inerse katılım yaklaşık %30 düşer; −%5'te dörtte birine iner; −%10'da neredeyse sıfırlanır.</w:t>
            </w:r>
          </w:p>
          <w:p>
            <w:pPr>
              <w:spacing w:after="50" w:line="280"/>
            </w:pPr>
            <w:r>
              <w:rPr>
                <w:rFonts w:ascii="Arial" w:cs="Arial" w:eastAsia="Arial" w:hAnsi="Arial"/>
                <w:color w:val="1F2A37"/>
                <w:sz w:val="22"/>
                <w:szCs w:val="22"/>
              </w:rPr>
              <w:t xml:space="preserve">Yani sistem, merkez bankasının sıkı duruşuna bağımlıdır.</w:t>
            </w:r>
          </w:p>
        </w:tc>
      </w:tr>
    </w:tbl>
    <w:p>
      <w:pPr>
        <w:spacing w:after="100"/>
      </w:pPr>
    </w:p>
    <w:p>
      <w:pPr>
        <w:spacing w:after="120" w:line="300"/>
      </w:pPr>
      <w:r>
        <w:rPr>
          <w:rFonts w:ascii="Arial" w:cs="Arial" w:eastAsia="Arial" w:hAnsi="Arial"/>
          <w:b/>
          <w:bCs/>
          <w:color w:val="1F2A37"/>
          <w:sz w:val="22"/>
          <w:szCs w:val="22"/>
        </w:rPr>
        <w:t xml:space="preserve">Kalibrasyon sorunu: </w:t>
      </w:r>
      <w:r>
        <w:rPr>
          <w:rFonts w:ascii="Arial" w:cs="Arial" w:eastAsia="Arial" w:hAnsi="Arial"/>
          <w:color w:val="1F2A37"/>
          <w:sz w:val="22"/>
          <w:szCs w:val="22"/>
        </w:rPr>
        <w:t xml:space="preserve">Beklentiyi "geçen yılın reel artışı" olarak aldım. Bu kuralın bir yıl ilerisini tahmin gücü, sıfır tahminden daha iyi değil (hata 21,0 puan, sıfır tahmin 20,7). Bu yüzden kural bir "tahmin modeli" değil, bir "davranış varsayımı"dır.</w:t>
      </w:r>
    </w:p>
    <w:p>
      <w:pPr>
        <w:pStyle w:val="Heading1"/>
        <w:spacing w:after="160" w:before="360"/>
      </w:pPr>
      <w:r>
        <w:rPr>
          <w:rFonts w:ascii="Arial" w:cs="Arial" w:eastAsia="Arial" w:hAnsi="Arial"/>
          <w:b/>
          <w:bCs/>
          <w:color w:val="1F4E79"/>
          <w:sz w:val="32"/>
          <w:szCs w:val="32"/>
        </w:rPr>
        <w:t xml:space="preserve">8. Veri ve kaynaklar</w:t>
      </w:r>
    </w:p>
    <w:p>
      <w:pPr>
        <w:spacing w:after="120" w:line="300"/>
      </w:pPr>
      <w:r>
        <w:rPr>
          <w:rFonts w:ascii="Arial" w:cs="Arial" w:eastAsia="Arial" w:hAnsi="Arial"/>
          <w:color w:val="1F2A37"/>
          <w:sz w:val="22"/>
          <w:szCs w:val="22"/>
        </w:rPr>
        <w:t xml:space="preserve">Girdilerin tamamı üç sınıfa ayrılır: teyitli (kaynakta görülen), türetilmiş (veriden hesaplanan) ve varsayım. Tam liste projedeki VARSAYIM.md dosyasındadır.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2700"/>
        <w:gridCol w:w="3838"/>
      </w:tblGrid>
      <w:tr>
        <w:trPr>
          <w:tblHeader/>
        </w:trPr>
        <w:tc>
          <w:tcPr>
            <w:tcW w:type="dxa" w:w="3100"/>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Girdi</w:t>
            </w:r>
          </w:p>
        </w:tc>
        <w:tc>
          <w:tcPr>
            <w:tcW w:type="dxa" w:w="2700"/>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Değer</w:t>
            </w:r>
          </w:p>
        </w:tc>
        <w:tc>
          <w:tcPr>
            <w:tcW w:type="dxa" w:w="3838"/>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Kaynak / sınıf</w:t>
            </w:r>
          </w:p>
        </w:tc>
      </w:tr>
      <w:tr>
        <w:trPr>
          <w:tblHeader w:val="false"/>
        </w:trPr>
        <w:tc>
          <w:tcPr>
            <w:tcW w:type="dxa" w:w="31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İstanbul satış / kira m²</w:t>
            </w:r>
          </w:p>
        </w:tc>
        <w:tc>
          <w:tcPr>
            <w:tcW w:type="dxa" w:w="2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66.905 / 479 TL</w:t>
            </w:r>
          </w:p>
        </w:tc>
        <w:tc>
          <w:tcPr>
            <w:tcW w:type="dxa" w:w="38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Emlakjet-Endeksa Ağustos 2026, teyitli</w:t>
            </w:r>
          </w:p>
        </w:tc>
      </w:tr>
      <w:tr>
        <w:trPr>
          <w:tblHeader w:val="false"/>
        </w:trPr>
        <w:tc>
          <w:tcPr>
            <w:tcW w:type="dxa" w:w="31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TÜFE Ağustos 2026 yıllık</w:t>
            </w:r>
          </w:p>
        </w:tc>
        <w:tc>
          <w:tcPr>
            <w:tcW w:type="dxa" w:w="2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%31,51</w:t>
            </w:r>
          </w:p>
        </w:tc>
        <w:tc>
          <w:tcPr>
            <w:tcW w:type="dxa" w:w="38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TÜİK, teyitli</w:t>
            </w:r>
          </w:p>
        </w:tc>
      </w:tr>
      <w:tr>
        <w:trPr>
          <w:tblHeader w:val="false"/>
        </w:trPr>
        <w:tc>
          <w:tcPr>
            <w:tcW w:type="dxa" w:w="31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12 aylık TÜFE ortalaması</w:t>
            </w:r>
          </w:p>
        </w:tc>
        <w:tc>
          <w:tcPr>
            <w:tcW w:type="dxa" w:w="2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%31,79</w:t>
            </w:r>
          </w:p>
        </w:tc>
        <w:tc>
          <w:tcPr>
            <w:tcW w:type="dxa" w:w="38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TÜİK; kira artış üst sınırı, kural doğrulandı</w:t>
            </w:r>
          </w:p>
        </w:tc>
      </w:tr>
      <w:tr>
        <w:trPr>
          <w:tblHeader w:val="false"/>
        </w:trPr>
        <w:tc>
          <w:tcPr>
            <w:tcW w:type="dxa" w:w="31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İleri enflasyon yolu</w:t>
            </w:r>
          </w:p>
        </w:tc>
        <w:tc>
          <w:tcPr>
            <w:tcW w:type="dxa" w:w="2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%28,4 / 21 / 13,5 / 9</w:t>
            </w:r>
          </w:p>
        </w:tc>
        <w:tc>
          <w:tcPr>
            <w:tcW w:type="dxa" w:w="38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OVP hedefi, 2029 sonrası %9 varsayım</w:t>
            </w:r>
          </w:p>
        </w:tc>
      </w:tr>
      <w:tr>
        <w:trPr>
          <w:tblHeader w:val="false"/>
        </w:trPr>
        <w:tc>
          <w:tcPr>
            <w:tcW w:type="dxa" w:w="31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Politika faizi</w:t>
            </w:r>
          </w:p>
        </w:tc>
        <w:tc>
          <w:tcPr>
            <w:tcW w:type="dxa" w:w="2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%37</w:t>
            </w:r>
          </w:p>
        </w:tc>
        <w:tc>
          <w:tcPr>
            <w:tcW w:type="dxa" w:w="38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TCMB, teyitli</w:t>
            </w:r>
          </w:p>
        </w:tc>
      </w:tr>
      <w:tr>
        <w:trPr>
          <w:tblHeader w:val="false"/>
        </w:trPr>
        <w:tc>
          <w:tcPr>
            <w:tcW w:type="dxa" w:w="31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Net asgari ücret 2026</w:t>
            </w:r>
          </w:p>
        </w:tc>
        <w:tc>
          <w:tcPr>
            <w:tcW w:type="dxa" w:w="2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28.075,5 TL</w:t>
            </w:r>
          </w:p>
        </w:tc>
        <w:tc>
          <w:tcPr>
            <w:tcW w:type="dxa" w:w="38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Resmi</w:t>
            </w:r>
          </w:p>
        </w:tc>
      </w:tr>
      <w:tr>
        <w:trPr>
          <w:tblHeader w:val="false"/>
        </w:trPr>
        <w:tc>
          <w:tcPr>
            <w:tcW w:type="dxa" w:w="31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En düşük memur maaşı</w:t>
            </w:r>
          </w:p>
        </w:tc>
        <w:tc>
          <w:tcPr>
            <w:tcW w:type="dxa" w:w="2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70.224 TL</w:t>
            </w:r>
          </w:p>
        </w:tc>
        <w:tc>
          <w:tcPr>
            <w:tcW w:type="dxa" w:w="38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Aile yardımı dahil, aktarım</w:t>
            </w:r>
          </w:p>
        </w:tc>
      </w:tr>
      <w:tr>
        <w:trPr>
          <w:tblHeader w:val="false"/>
        </w:trPr>
        <w:tc>
          <w:tcPr>
            <w:tcW w:type="dxa" w:w="31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Gelir: medyan, ortalama (ulusal)</w:t>
            </w:r>
          </w:p>
        </w:tc>
        <w:tc>
          <w:tcPr>
            <w:tcW w:type="dxa" w:w="2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241.151 / 332.882 TL</w:t>
            </w:r>
          </w:p>
        </w:tc>
        <w:tc>
          <w:tcPr>
            <w:tcW w:type="dxa" w:w="38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TÜİK GYKA 2025, teyitli</w:t>
            </w:r>
          </w:p>
        </w:tc>
      </w:tr>
      <w:tr>
        <w:trPr>
          <w:tblHeader w:val="false"/>
        </w:trPr>
        <w:tc>
          <w:tcPr>
            <w:tcW w:type="dxa" w:w="31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İstanbul (TR10) ortalama gelir, Gini</w:t>
            </w:r>
          </w:p>
        </w:tc>
        <w:tc>
          <w:tcPr>
            <w:tcW w:type="dxa" w:w="2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434.929 TL, 0,428</w:t>
            </w:r>
          </w:p>
        </w:tc>
        <w:tc>
          <w:tcPr>
            <w:tcW w:type="dxa" w:w="38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TÜİK / İPA, teyitli</w:t>
            </w:r>
          </w:p>
        </w:tc>
      </w:tr>
      <w:tr>
        <w:trPr>
          <w:tblHeader w:val="false"/>
        </w:trPr>
        <w:tc>
          <w:tcPr>
            <w:tcW w:type="dxa" w:w="31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İstanbul nüfusu, hane büyüklüğü</w:t>
            </w:r>
          </w:p>
        </w:tc>
        <w:tc>
          <w:tcPr>
            <w:tcW w:type="dxa" w:w="2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15,75 milyon, 3,09</w:t>
            </w:r>
          </w:p>
        </w:tc>
        <w:tc>
          <w:tcPr>
            <w:tcW w:type="dxa" w:w="38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ADNKS 2025, teyitli</w:t>
            </w:r>
          </w:p>
        </w:tc>
      </w:tr>
      <w:tr>
        <w:trPr>
          <w:tblHeader w:val="false"/>
        </w:trPr>
        <w:tc>
          <w:tcPr>
            <w:tcW w:type="dxa" w:w="31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Boş stok</w:t>
            </w:r>
          </w:p>
        </w:tc>
        <w:tc>
          <w:tcPr>
            <w:tcW w:type="dxa" w:w="2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225 bin - 750 bin</w:t>
            </w:r>
          </w:p>
        </w:tc>
        <w:tc>
          <w:tcPr>
            <w:tcW w:type="dxa" w:w="38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Yöntem farkı, tek sayı yok</w:t>
            </w:r>
          </w:p>
        </w:tc>
      </w:tr>
      <w:tr>
        <w:trPr>
          <w:tblHeader w:val="false"/>
        </w:trPr>
        <w:tc>
          <w:tcPr>
            <w:tcW w:type="dxa" w:w="31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Kiracı hane payı</w:t>
            </w:r>
          </w:p>
        </w:tc>
        <w:tc>
          <w:tcPr>
            <w:tcW w:type="dxa" w:w="2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%27</w:t>
            </w:r>
          </w:p>
        </w:tc>
        <w:tc>
          <w:tcPr>
            <w:tcW w:type="dxa" w:w="38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Ulusal, İstanbul için varsayım</w:t>
            </w:r>
          </w:p>
        </w:tc>
      </w:tr>
      <w:tr>
        <w:trPr>
          <w:tblHeader w:val="false"/>
        </w:trPr>
        <w:tc>
          <w:tcPr>
            <w:tcW w:type="dxa" w:w="31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Katılım tavanı ve eğimi</w:t>
            </w:r>
          </w:p>
        </w:tc>
        <w:tc>
          <w:tcPr>
            <w:tcW w:type="dxa" w:w="2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%25 ve 25</w:t>
            </w:r>
          </w:p>
        </w:tc>
        <w:tc>
          <w:tcPr>
            <w:tcW w:type="dxa" w:w="38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Kalibre edilemez</w:t>
            </w:r>
          </w:p>
        </w:tc>
      </w:tr>
      <w:tr>
        <w:trPr>
          <w:tblHeader w:val="false"/>
        </w:trPr>
        <w:tc>
          <w:tcPr>
            <w:tcW w:type="dxa" w:w="31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Etkin tahsilat</w:t>
            </w:r>
          </w:p>
        </w:tc>
        <w:tc>
          <w:tcPr>
            <w:tcW w:type="dxa" w:w="2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%30</w:t>
            </w:r>
          </w:p>
        </w:tc>
        <w:tc>
          <w:tcPr>
            <w:tcW w:type="dxa" w:w="38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Varsayım</w:t>
            </w:r>
          </w:p>
        </w:tc>
      </w:tr>
      <w:tr>
        <w:trPr>
          <w:tblHeader w:val="false"/>
        </w:trPr>
        <w:tc>
          <w:tcPr>
            <w:tcW w:type="dxa" w:w="31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Bakım oranı</w:t>
            </w:r>
          </w:p>
        </w:tc>
        <w:tc>
          <w:tcPr>
            <w:tcW w:type="dxa" w:w="2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Değerin %1'i</w:t>
            </w:r>
          </w:p>
        </w:tc>
        <w:tc>
          <w:tcPr>
            <w:tcW w:type="dxa" w:w="38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Varsayım (yabancı rehber %1-3)</w:t>
            </w:r>
          </w:p>
        </w:tc>
      </w:tr>
    </w:tbl>
    <w:p>
      <w:pPr>
        <w:spacing w:after="100"/>
      </w:pPr>
    </w:p>
    <w:p>
      <w:pPr>
        <w:pStyle w:val="Heading2"/>
        <w:spacing w:after="100" w:before="240"/>
      </w:pPr>
      <w:r>
        <w:rPr>
          <w:rFonts w:ascii="Arial" w:cs="Arial" w:eastAsia="Arial" w:hAnsi="Arial"/>
          <w:b/>
          <w:bCs/>
          <w:color w:val="1F4E79"/>
          <w:sz w:val="26"/>
          <w:szCs w:val="26"/>
        </w:rPr>
        <w:t xml:space="preserve">8.1 Hane geliri ve medyan</w:t>
      </w:r>
    </w:p>
    <w:p>
      <w:pPr>
        <w:spacing w:after="120" w:line="300"/>
      </w:pPr>
      <w:r>
        <w:rPr>
          <w:rFonts w:ascii="Arial" w:cs="Arial" w:eastAsia="Arial" w:hAnsi="Arial"/>
          <w:color w:val="1F2A37"/>
          <w:sz w:val="22"/>
          <w:szCs w:val="22"/>
        </w:rPr>
        <w:t xml:space="preserve">Hane gelirini tek bir sayıyla bilemiyoruz; dört bağımsız yoldan tahmin ettim: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1500"/>
        <w:gridCol w:w="2638"/>
      </w:tblGrid>
      <w:tr>
        <w:trPr>
          <w:tblHeader/>
        </w:trPr>
        <w:tc>
          <w:tcPr>
            <w:tcW w:type="dxa" w:w="3800"/>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Yol</w:t>
            </w:r>
          </w:p>
        </w:tc>
        <w:tc>
          <w:tcPr>
            <w:tcW w:type="dxa" w:w="1700"/>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Hane medyanı/ay</w:t>
            </w:r>
          </w:p>
        </w:tc>
        <w:tc>
          <w:tcPr>
            <w:tcW w:type="dxa" w:w="1500"/>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Gelir ÷ sübv.</w:t>
            </w:r>
          </w:p>
        </w:tc>
        <w:tc>
          <w:tcPr>
            <w:tcW w:type="dxa" w:w="2638"/>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Not</w:t>
            </w:r>
          </w:p>
        </w:tc>
      </w:tr>
      <w:tr>
        <w:trPr>
          <w:tblHeader w:val="false"/>
        </w:trPr>
        <w:tc>
          <w:tcPr>
            <w:tcW w:type="dxa" w:w="38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A. Sendika (DİSK-AR), yalnız ücret</w:t>
            </w:r>
          </w:p>
        </w:tc>
        <w:tc>
          <w:tcPr>
            <w:tcW w:type="dxa" w:w="1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42.113 TL</w:t>
            </w:r>
          </w:p>
        </w:tc>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0,61</w:t>
            </w:r>
          </w:p>
        </w:tc>
        <w:tc>
          <w:tcPr>
            <w:tcW w:type="dxa" w:w="26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Alt sınır; yalnız ücret</w:t>
            </w:r>
          </w:p>
        </w:tc>
      </w:tr>
      <w:tr>
        <w:trPr>
          <w:tblHeader w:val="false"/>
        </w:trPr>
        <w:tc>
          <w:tcPr>
            <w:tcW w:type="dxa" w:w="38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B. TÜİK ulusal, 2026'ya yükseltilmiş (baz)</w:t>
            </w:r>
          </w:p>
        </w:tc>
        <w:tc>
          <w:tcPr>
            <w:tcW w:type="dxa" w:w="1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66.369 TL</w:t>
            </w:r>
          </w:p>
        </w:tc>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0,94</w:t>
            </w:r>
          </w:p>
        </w:tc>
        <w:tc>
          <w:tcPr>
            <w:tcW w:type="dxa" w:w="26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Baz alınan</w:t>
            </w:r>
          </w:p>
        </w:tc>
      </w:tr>
      <w:tr>
        <w:trPr>
          <w:tblHeader w:val="false"/>
        </w:trPr>
        <w:tc>
          <w:tcPr>
            <w:tcW w:type="dxa" w:w="38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C. TÜİK İstanbul ortalaması ölçekli</w:t>
            </w:r>
          </w:p>
        </w:tc>
        <w:tc>
          <w:tcPr>
            <w:tcW w:type="dxa" w:w="1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86.715 TL</w:t>
            </w:r>
          </w:p>
        </w:tc>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1,33</w:t>
            </w:r>
          </w:p>
        </w:tc>
        <w:tc>
          <w:tcPr>
            <w:tcW w:type="dxa" w:w="26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Üst sınır</w:t>
            </w:r>
          </w:p>
        </w:tc>
      </w:tr>
      <w:tr>
        <w:trPr>
          <w:tblHeader w:val="false"/>
        </w:trPr>
        <w:tc>
          <w:tcPr>
            <w:tcW w:type="dxa" w:w="38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D. İPA / TÜİK İstanbul yoksulluk sınırı</w:t>
            </w:r>
          </w:p>
        </w:tc>
        <w:tc>
          <w:tcPr>
            <w:tcW w:type="dxa" w:w="1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63.000-69.000 TL</w:t>
            </w:r>
          </w:p>
        </w:tc>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0,88-0,99</w:t>
            </w:r>
          </w:p>
        </w:tc>
        <w:tc>
          <w:tcPr>
            <w:tcW w:type="dxa" w:w="26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Bağımsız teyit</w:t>
            </w:r>
          </w:p>
        </w:tc>
      </w:tr>
    </w:tbl>
    <w:p>
      <w:pPr>
        <w:spacing w:after="100"/>
      </w:pPr>
    </w:p>
    <w:p>
      <w:pPr>
        <w:spacing w:after="120" w:line="300"/>
      </w:pPr>
      <w:r>
        <w:rPr>
          <w:rFonts w:ascii="Arial" w:cs="Arial" w:eastAsia="Arial" w:hAnsi="Arial"/>
          <w:color w:val="1F2A37"/>
          <w:sz w:val="22"/>
          <w:szCs w:val="22"/>
        </w:rPr>
        <w:t xml:space="preserve">Sendika verisine göre ücretlilerin %46,7'si asgari ücret ve altında, yani medyan işçi neredeyse asgari ücretlidir. İPA'nın yoksulluk sınırı (88.185 TL, bölgesel medyanın %60'ı) medyanı bağımsız olarak verir ve B ile üst üste biner. İstanbul Gini katsayısı 0,428, modelin dağılım genişliğiyle uyumludur.</w:t>
      </w:r>
    </w:p>
    <w:p>
      <w:pPr>
        <w:pStyle w:val="Heading1"/>
        <w:spacing w:after="160" w:before="360"/>
      </w:pPr>
      <w:r>
        <w:rPr>
          <w:rFonts w:ascii="Arial" w:cs="Arial" w:eastAsia="Arial" w:hAnsi="Arial"/>
          <w:b/>
          <w:bCs/>
          <w:color w:val="1F4E79"/>
          <w:sz w:val="32"/>
          <w:szCs w:val="32"/>
        </w:rPr>
        <w:t xml:space="preserve">9. Sonuçlar</w:t>
      </w:r>
    </w:p>
    <w:p>
      <w:pPr>
        <w:pStyle w:val="Heading2"/>
        <w:spacing w:after="100" w:before="240"/>
      </w:pPr>
      <w:r>
        <w:rPr>
          <w:rFonts w:ascii="Arial" w:cs="Arial" w:eastAsia="Arial" w:hAnsi="Arial"/>
          <w:b/>
          <w:bCs/>
          <w:color w:val="1F4E79"/>
          <w:sz w:val="26"/>
          <w:szCs w:val="26"/>
        </w:rPr>
        <w:t xml:space="preserve">9.1 En olası senaryo (İstanbul)</w:t>
      </w:r>
    </w:p>
    <w:p>
      <w:pPr>
        <w:spacing w:after="120" w:line="300"/>
      </w:pPr>
      <w:r>
        <w:rPr>
          <w:rFonts w:ascii="Arial" w:cs="Arial" w:eastAsia="Arial" w:hAnsi="Arial"/>
          <w:color w:val="1F2A37"/>
          <w:sz w:val="22"/>
          <w:szCs w:val="22"/>
        </w:rPr>
        <w:t xml:space="preserve">Varsayımlar: beklenen reel konut artışı −%3,7; katılım tavanı %25; genel bedel %1; lüks bedel %5; genel tahsilat %30, lüks tahsilat %40; ulusal TÜİK gelir dağılımı.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19"/>
        <w:gridCol w:w="3219"/>
      </w:tblGrid>
      <w:tr>
        <w:trPr>
          <w:tblHeader/>
        </w:trPr>
        <w:tc>
          <w:tcPr>
            <w:tcW w:type="dxa" w:w="3200"/>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
            </w:r>
          </w:p>
        </w:tc>
        <w:tc>
          <w:tcPr>
            <w:tcW w:type="dxa" w:w="3219"/>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İki bölgeli (önceki)</w:t>
            </w:r>
          </w:p>
        </w:tc>
        <w:tc>
          <w:tcPr>
            <w:tcW w:type="dxa" w:w="3219"/>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Üç bölgeli (tampon)</w:t>
            </w:r>
          </w:p>
        </w:tc>
      </w:tr>
      <w:tr>
        <w:trPr>
          <w:tblHeader w:val="false"/>
        </w:trPr>
        <w:tc>
          <w:tcPr>
            <w:tcW w:type="dxa" w:w="32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Yerleşen daire</w:t>
            </w:r>
          </w:p>
        </w:tc>
        <w:tc>
          <w:tcPr>
            <w:tcW w:type="dxa" w:w="3219"/>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82 bin</w:t>
            </w:r>
          </w:p>
        </w:tc>
        <w:tc>
          <w:tcPr>
            <w:tcW w:type="dxa" w:w="3219"/>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37 bin</w:t>
            </w:r>
          </w:p>
        </w:tc>
      </w:tr>
      <w:tr>
        <w:trPr>
          <w:tblHeader w:val="false"/>
        </w:trPr>
        <w:tc>
          <w:tcPr>
            <w:tcW w:type="dxa" w:w="32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Yıl 1 sübvansiyon</w:t>
            </w:r>
          </w:p>
        </w:tc>
        <w:tc>
          <w:tcPr>
            <w:tcW w:type="dxa" w:w="3219"/>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6,5 milyar TL</w:t>
            </w:r>
          </w:p>
        </w:tc>
        <w:tc>
          <w:tcPr>
            <w:tcW w:type="dxa" w:w="3219"/>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3,9 milyar TL</w:t>
            </w:r>
          </w:p>
        </w:tc>
      </w:tr>
      <w:tr>
        <w:trPr>
          <w:tblHeader w:val="false"/>
        </w:trPr>
        <w:tc>
          <w:tcPr>
            <w:tcW w:type="dxa" w:w="32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Bedel geliri</w:t>
            </w:r>
          </w:p>
        </w:tc>
        <w:tc>
          <w:tcPr>
            <w:tcW w:type="dxa" w:w="3219"/>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6,1 milyar TL</w:t>
            </w:r>
          </w:p>
        </w:tc>
        <w:tc>
          <w:tcPr>
            <w:tcW w:type="dxa" w:w="3219"/>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9,4 milyar TL</w:t>
            </w:r>
          </w:p>
        </w:tc>
      </w:tr>
      <w:tr>
        <w:trPr>
          <w:tblHeader w:val="false"/>
        </w:trPr>
        <w:tc>
          <w:tcPr>
            <w:tcW w:type="dxa" w:w="32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Gelir ÷ sübvansiyon</w:t>
            </w:r>
          </w:p>
        </w:tc>
        <w:tc>
          <w:tcPr>
            <w:tcW w:type="dxa" w:w="3219"/>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0,94</w:t>
            </w:r>
          </w:p>
        </w:tc>
        <w:tc>
          <w:tcPr>
            <w:tcW w:type="dxa" w:w="3219"/>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2,39</w:t>
            </w:r>
          </w:p>
        </w:tc>
      </w:tr>
      <w:tr>
        <w:trPr>
          <w:tblHeader w:val="false"/>
        </w:trPr>
        <w:tc>
          <w:tcPr>
            <w:tcW w:type="dxa" w:w="32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20 yıl yük (bugünkü TL)</w:t>
            </w:r>
          </w:p>
        </w:tc>
        <w:tc>
          <w:tcPr>
            <w:tcW w:type="dxa" w:w="3219"/>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137 milyar TL</w:t>
            </w:r>
          </w:p>
        </w:tc>
        <w:tc>
          <w:tcPr>
            <w:tcW w:type="dxa" w:w="3219"/>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84 milyar TL</w:t>
            </w:r>
          </w:p>
        </w:tc>
      </w:tr>
      <w:tr>
        <w:trPr>
          <w:tblHeader w:val="false"/>
        </w:trPr>
        <w:tc>
          <w:tcPr>
            <w:tcW w:type="dxa" w:w="32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Uygun kiracıya kapsam</w:t>
            </w:r>
          </w:p>
        </w:tc>
        <w:tc>
          <w:tcPr>
            <w:tcW w:type="dxa" w:w="3219"/>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%15</w:t>
            </w:r>
          </w:p>
        </w:tc>
        <w:tc>
          <w:tcPr>
            <w:tcW w:type="dxa" w:w="3219"/>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%6,6</w:t>
            </w:r>
          </w:p>
        </w:tc>
      </w:tr>
      <w:tr>
        <w:trPr>
          <w:tblHeader w:val="false"/>
        </w:trPr>
        <w:tc>
          <w:tcPr>
            <w:tcW w:type="dxa" w:w="32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Boşluktan çıkan (özel piyasaya)</w:t>
            </w:r>
          </w:p>
        </w:tc>
        <w:tc>
          <w:tcPr>
            <w:tcW w:type="dxa" w:w="3219"/>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w:t>
            </w:r>
          </w:p>
        </w:tc>
        <w:tc>
          <w:tcPr>
            <w:tcW w:type="dxa" w:w="3219"/>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~107 bin daire</w:t>
            </w:r>
          </w:p>
        </w:tc>
      </w:tr>
    </w:tbl>
    <w:p>
      <w:pPr>
        <w:spacing w:after="100"/>
      </w:pPr>
    </w:p>
    <w:p>
      <w:pPr>
        <w:spacing w:after="120" w:line="300"/>
      </w:pPr>
      <w:r>
        <w:rPr>
          <w:rFonts w:ascii="Arial" w:cs="Arial" w:eastAsia="Arial" w:hAnsi="Arial"/>
          <w:b/>
          <w:bCs/>
          <w:color w:val="1F2A37"/>
          <w:sz w:val="22"/>
          <w:szCs w:val="22"/>
        </w:rPr>
        <w:t xml:space="preserve">Dikkat: </w:t>
      </w:r>
      <w:r>
        <w:rPr>
          <w:rFonts w:ascii="Arial" w:cs="Arial" w:eastAsia="Arial" w:hAnsi="Arial"/>
          <w:color w:val="1F2A37"/>
          <w:sz w:val="22"/>
          <w:szCs w:val="22"/>
        </w:rPr>
        <w:t xml:space="preserve">Üç bölgeli modelde oranın 2,39'a çıkması tamponun etkisi değil, tanım farkıdır. Önceki modelde lüks yalnızca orta tipin %20'siydi (45 bin daire); burada tüm boş stoğun %20'si (90 bin daire). İki sütunu doğrudan karşılaştırmak adil değil.</w:t>
      </w:r>
    </w:p>
    <w:p>
      <w:pPr>
        <w:pStyle w:val="Heading2"/>
        <w:spacing w:after="100" w:before="240"/>
      </w:pPr>
      <w:r>
        <w:rPr>
          <w:rFonts w:ascii="Arial" w:cs="Arial" w:eastAsia="Arial" w:hAnsi="Arial"/>
          <w:b/>
          <w:bCs/>
          <w:color w:val="1F4E79"/>
          <w:sz w:val="26"/>
          <w:szCs w:val="26"/>
        </w:rPr>
        <w:t xml:space="preserve">9.2 Ülke geneline etki</w:t>
      </w:r>
    </w:p>
    <w:p>
      <w:pPr>
        <w:pStyle w:val="ListParagraph"/>
        <w:numPr>
          <w:ilvl w:val="0"/>
          <w:numId w:val="2"/>
        </w:numPr>
        <w:spacing w:after="70" w:line="290"/>
      </w:pPr>
      <w:r>
        <w:rPr>
          <w:rFonts w:ascii="Arial" w:cs="Arial" w:eastAsia="Arial" w:hAnsi="Arial"/>
          <w:color w:val="1F2A37"/>
          <w:sz w:val="22"/>
          <w:szCs w:val="22"/>
        </w:rPr>
        <w:t xml:space="preserve">Gini katsayısı: 0,4296 → 0,4285 civarı (yaklaşık binde bir).</w:t>
      </w:r>
    </w:p>
    <w:p>
      <w:pPr>
        <w:pStyle w:val="ListParagraph"/>
        <w:numPr>
          <w:ilvl w:val="0"/>
          <w:numId w:val="2"/>
        </w:numPr>
        <w:spacing w:after="70" w:line="290"/>
      </w:pPr>
      <w:r>
        <w:rPr>
          <w:rFonts w:ascii="Arial" w:cs="Arial" w:eastAsia="Arial" w:hAnsi="Arial"/>
          <w:color w:val="1F2A37"/>
          <w:sz w:val="22"/>
          <w:szCs w:val="22"/>
        </w:rPr>
        <w:t xml:space="preserve">Göreli yoksulluk: yaklaşık −0,15 ila −0,27 puan.</w:t>
      </w:r>
    </w:p>
    <w:p>
      <w:pPr>
        <w:pStyle w:val="ListParagraph"/>
        <w:numPr>
          <w:ilvl w:val="0"/>
          <w:numId w:val="2"/>
        </w:numPr>
        <w:spacing w:after="70" w:line="290"/>
      </w:pPr>
      <w:r>
        <w:rPr>
          <w:rFonts w:ascii="Arial" w:cs="Arial" w:eastAsia="Arial" w:hAnsi="Arial"/>
          <w:color w:val="1F2A37"/>
          <w:sz w:val="22"/>
          <w:szCs w:val="22"/>
        </w:rPr>
        <w:t xml:space="preserve">Piyasa kirası: doğrusal yaklaşımla %6 ile %20 arası düşüş; bu bir üst sınırdır, yerleşenlerin hepsinin piyasa kiracısı olduğunu varsayar.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4D0" w:sz="4"/>
              <w:left w:val="single" w:color="B8C4D0" w:sz="4"/>
              <w:bottom w:val="single" w:color="B8C4D0" w:sz="4"/>
              <w:right w:val="single" w:color="B8C4D0" w:sz="4"/>
            </w:tcBorders>
            <w:shd w:fill="EAF1F8" w:color="auto" w:val="clear"/>
            <w:tcMar>
              <w:top w:type="dxa" w:w="120"/>
              <w:left w:type="dxa" w:w="160"/>
              <w:bottom w:type="dxa" w:w="120"/>
              <w:right w:type="dxa" w:w="160"/>
            </w:tcMar>
          </w:tcPr>
          <w:p>
            <w:pPr>
              <w:spacing w:after="60"/>
            </w:pPr>
            <w:r>
              <w:rPr>
                <w:rFonts w:ascii="Arial" w:cs="Arial" w:eastAsia="Arial" w:hAnsi="Arial"/>
                <w:b/>
                <w:bCs/>
                <w:color w:val="1F4E79"/>
                <w:sz w:val="22"/>
                <w:szCs w:val="22"/>
              </w:rPr>
              <w:t xml:space="preserve">Sade okuma</w:t>
            </w:r>
          </w:p>
          <w:p>
            <w:pPr>
              <w:spacing w:after="50" w:line="280"/>
            </w:pPr>
            <w:r>
              <w:rPr>
                <w:rFonts w:ascii="Arial" w:cs="Arial" w:eastAsia="Arial" w:hAnsi="Arial"/>
                <w:color w:val="1F2A37"/>
                <w:sz w:val="22"/>
                <w:szCs w:val="22"/>
              </w:rPr>
              <w:t xml:space="preserve">Yerleşen hanede etki çok güçlüdür (aylık 9-12 bin TL kazanç alt gelirde). Şehir geneli için ihmal edilebilir. Çünkü program, hanelerin yaklaşık %0,7'sine ulaşır.</w:t>
            </w:r>
          </w:p>
        </w:tc>
      </w:tr>
    </w:tbl>
    <w:p>
      <w:pPr>
        <w:pStyle w:val="Heading2"/>
        <w:spacing w:after="100" w:before="240"/>
      </w:pPr>
      <w:r>
        <w:rPr>
          <w:rFonts w:ascii="Arial" w:cs="Arial" w:eastAsia="Arial" w:hAnsi="Arial"/>
          <w:b/>
          <w:bCs/>
          <w:color w:val="1F4E79"/>
          <w:sz w:val="26"/>
          <w:szCs w:val="26"/>
        </w:rPr>
        <w:t xml:space="preserve">9.3 Fazla gelir ne olur</w:t>
      </w:r>
    </w:p>
    <w:p>
      <w:pPr>
        <w:spacing w:after="120" w:line="300"/>
      </w:pPr>
      <w:r>
        <w:rPr>
          <w:rFonts w:ascii="Arial" w:cs="Arial" w:eastAsia="Arial" w:hAnsi="Arial"/>
          <w:color w:val="1F2A37"/>
          <w:sz w:val="22"/>
          <w:szCs w:val="22"/>
        </w:rPr>
        <w:t xml:space="preserve">Bedel geliri sübvansiyonu aşarsa fazlası "katılım primi" olarak sahiplere ödenebilir. Sonuç beklenmedik: prim, katılımı yalnızca %16-28 artırır, çünkü katılım tavanı bağlıdır. Para tavanı aşan daireyi satın alamaz.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1700"/>
        <w:gridCol w:w="1738"/>
      </w:tblGrid>
      <w:tr>
        <w:trPr>
          <w:tblHeader/>
        </w:trPr>
        <w:tc>
          <w:tcPr>
            <w:tcW w:type="dxa" w:w="2400"/>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Varyant</w:t>
            </w:r>
          </w:p>
        </w:tc>
        <w:tc>
          <w:tcPr>
            <w:tcW w:type="dxa" w:w="1900"/>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Daire önce</w:t>
            </w:r>
          </w:p>
        </w:tc>
        <w:tc>
          <w:tcPr>
            <w:tcW w:type="dxa" w:w="1900"/>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Daire sonra</w:t>
            </w:r>
          </w:p>
        </w:tc>
        <w:tc>
          <w:tcPr>
            <w:tcW w:type="dxa" w:w="1700"/>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Prim (değerin %)</w:t>
            </w:r>
          </w:p>
        </w:tc>
        <w:tc>
          <w:tcPr>
            <w:tcW w:type="dxa" w:w="1738"/>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Kalan fazla</w:t>
            </w:r>
          </w:p>
        </w:tc>
      </w:tr>
      <w:tr>
        <w:trPr>
          <w:tblHeader w:val="false"/>
        </w:trPr>
        <w:tc>
          <w:tcPr>
            <w:tcW w:type="dxa" w:w="24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Temel</w:t>
            </w:r>
          </w:p>
        </w:tc>
        <w:tc>
          <w:tcPr>
            <w:tcW w:type="dxa" w:w="1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37 bin</w:t>
            </w:r>
          </w:p>
        </w:tc>
        <w:tc>
          <w:tcPr>
            <w:tcW w:type="dxa" w:w="1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43 bin</w:t>
            </w:r>
          </w:p>
        </w:tc>
        <w:tc>
          <w:tcPr>
            <w:tcW w:type="dxa" w:w="1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%4,7</w:t>
            </w:r>
          </w:p>
        </w:tc>
        <w:tc>
          <w:tcPr>
            <w:tcW w:type="dxa" w:w="17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0</w:t>
            </w:r>
          </w:p>
        </w:tc>
      </w:tr>
      <w:tr>
        <w:trPr>
          <w:tblHeader w:val="false"/>
        </w:trPr>
        <w:tc>
          <w:tcPr>
            <w:tcW w:type="dxa" w:w="24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Tampon bedelsiz</w:t>
            </w:r>
          </w:p>
        </w:tc>
        <w:tc>
          <w:tcPr>
            <w:tcW w:type="dxa" w:w="1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37 bin</w:t>
            </w:r>
          </w:p>
        </w:tc>
        <w:tc>
          <w:tcPr>
            <w:tcW w:type="dxa" w:w="1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41 bin</w:t>
            </w:r>
          </w:p>
        </w:tc>
        <w:tc>
          <w:tcPr>
            <w:tcW w:type="dxa" w:w="1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%3,2</w:t>
            </w:r>
          </w:p>
        </w:tc>
        <w:tc>
          <w:tcPr>
            <w:tcW w:type="dxa" w:w="17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0</w:t>
            </w:r>
          </w:p>
        </w:tc>
      </w:tr>
      <w:tr>
        <w:trPr>
          <w:tblHeader w:val="false"/>
        </w:trPr>
        <w:tc>
          <w:tcPr>
            <w:tcW w:type="dxa" w:w="24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Boşluk lüks bandında %40</w:t>
            </w:r>
          </w:p>
        </w:tc>
        <w:tc>
          <w:tcPr>
            <w:tcW w:type="dxa" w:w="1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28 bin</w:t>
            </w:r>
          </w:p>
        </w:tc>
        <w:tc>
          <w:tcPr>
            <w:tcW w:type="dxa" w:w="1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34 bin</w:t>
            </w:r>
          </w:p>
        </w:tc>
        <w:tc>
          <w:tcPr>
            <w:tcW w:type="dxa" w:w="1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%12,7</w:t>
            </w:r>
          </w:p>
        </w:tc>
        <w:tc>
          <w:tcPr>
            <w:tcW w:type="dxa" w:w="17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1,1 milyar</w:t>
            </w:r>
          </w:p>
        </w:tc>
      </w:tr>
      <w:tr>
        <w:trPr>
          <w:tblHeader w:val="false"/>
        </w:trPr>
        <w:tc>
          <w:tcPr>
            <w:tcW w:type="dxa" w:w="24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Boşluk lüks bandında %60</w:t>
            </w:r>
          </w:p>
        </w:tc>
        <w:tc>
          <w:tcPr>
            <w:tcW w:type="dxa" w:w="1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18 bin</w:t>
            </w:r>
          </w:p>
        </w:tc>
        <w:tc>
          <w:tcPr>
            <w:tcW w:type="dxa" w:w="1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23 bin</w:t>
            </w:r>
          </w:p>
        </w:tc>
        <w:tc>
          <w:tcPr>
            <w:tcW w:type="dxa" w:w="1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%12,7</w:t>
            </w:r>
          </w:p>
        </w:tc>
        <w:tc>
          <w:tcPr>
            <w:tcW w:type="dxa" w:w="17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11,7 milyar</w:t>
            </w:r>
          </w:p>
        </w:tc>
      </w:tr>
    </w:tbl>
    <w:p>
      <w:pPr>
        <w:spacing w:after="100"/>
      </w:pPr>
    </w:p>
    <w:p>
      <w:pPr>
        <w:spacing w:after="120" w:line="300"/>
      </w:pPr>
      <w:r>
        <w:rPr>
          <w:rFonts w:ascii="Arial" w:cs="Arial" w:eastAsia="Arial" w:hAnsi="Arial"/>
          <w:color w:val="1F2A37"/>
          <w:sz w:val="22"/>
          <w:szCs w:val="22"/>
        </w:rPr>
        <w:t xml:space="preserve">Çözüm primde değil, kullanılabilir stoğu artırmakta: bugün kullanıma uygun olmayan boş daireleri tadilatla uygun hale getirmek. Lüks boşluk %60 olursa kalan fazla, daire başına yılda yaklaşık 850 bin TL tadilat bütçesi verir (tadilat maliyeti verisi yok, bu bir eşiktir).</w:t>
      </w:r>
    </w:p>
    <w:p>
      <w:pPr>
        <w:pStyle w:val="Heading1"/>
        <w:spacing w:after="160" w:before="360"/>
      </w:pPr>
      <w:r>
        <w:rPr>
          <w:rFonts w:ascii="Arial" w:cs="Arial" w:eastAsia="Arial" w:hAnsi="Arial"/>
          <w:b/>
          <w:bCs/>
          <w:color w:val="1F4E79"/>
          <w:sz w:val="32"/>
          <w:szCs w:val="32"/>
        </w:rPr>
        <w:t xml:space="preserve">10. Kendini finanse etme</w:t>
      </w:r>
    </w:p>
    <w:p>
      <w:pPr>
        <w:spacing w:after="120" w:line="300"/>
      </w:pPr>
      <w:r>
        <w:rPr>
          <w:rFonts w:ascii="Arial" w:cs="Arial" w:eastAsia="Arial" w:hAnsi="Arial"/>
          <w:color w:val="1F2A37"/>
          <w:sz w:val="22"/>
          <w:szCs w:val="22"/>
        </w:rPr>
        <w:t xml:space="preserve">Sistem kendini finanse eder mi? Bu soru tek bir denkleme iner: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4D0" w:sz="4"/>
              <w:left w:val="single" w:color="B8C4D0" w:sz="4"/>
              <w:bottom w:val="single" w:color="B8C4D0" w:sz="4"/>
              <w:right w:val="single" w:color="B8C4D0" w:sz="4"/>
            </w:tcBorders>
            <w:shd w:fill="EAF1F8" w:color="auto" w:val="clear"/>
            <w:tcMar>
              <w:top w:type="dxa" w:w="120"/>
              <w:left w:type="dxa" w:w="160"/>
              <w:bottom w:type="dxa" w:w="120"/>
              <w:right w:type="dxa" w:w="160"/>
            </w:tcMar>
          </w:tcPr>
          <w:p>
            <w:pPr>
              <w:spacing w:after="60"/>
            </w:pPr>
            <w:r>
              <w:rPr>
                <w:rFonts w:ascii="Arial" w:cs="Arial" w:eastAsia="Arial" w:hAnsi="Arial"/>
                <w:b/>
                <w:bCs/>
                <w:color w:val="1F4E79"/>
                <w:sz w:val="22"/>
                <w:szCs w:val="22"/>
              </w:rPr>
              <w:t xml:space="preserve">Denklem</w:t>
            </w:r>
          </w:p>
          <w:p>
            <w:pPr>
              <w:spacing w:after="50" w:line="280"/>
            </w:pPr>
            <w:r>
              <w:rPr>
                <w:rFonts w:ascii="Arial" w:cs="Arial" w:eastAsia="Arial" w:hAnsi="Arial"/>
                <w:b/>
                <w:bCs/>
                <w:color w:val="1F2A37"/>
                <w:sz w:val="22"/>
                <w:szCs w:val="22"/>
              </w:rPr>
              <w:t xml:space="preserve">bedel × tahsilat  ≥  (12 × aylık sübvansiyon ÷ daire değeri) × p ÷ (1 − p)</w:t>
            </w:r>
          </w:p>
          <w:p>
            <w:pPr>
              <w:spacing w:after="50" w:line="280"/>
            </w:pPr>
            <w:r>
              <w:rPr>
                <w:rFonts w:ascii="Arial" w:cs="Arial" w:eastAsia="Arial" w:hAnsi="Arial"/>
                <w:color w:val="1F2A37"/>
                <w:sz w:val="22"/>
                <w:szCs w:val="22"/>
              </w:rPr>
              <w:t xml:space="preserve">Burada p, boş stoğun sisteme giren oranıdır. Sağ taraf p arttıkça hızla büyür: giren çoğaldıkça bedel ödeyen azalır.</w:t>
            </w:r>
          </w:p>
        </w:tc>
      </w:tr>
    </w:tbl>
    <w:p>
      <w:pPr>
        <w:spacing w:after="100"/>
      </w:pPr>
    </w:p>
    <w:p>
      <w:pPr>
        <w:spacing w:after="120" w:line="300"/>
      </w:pPr>
      <w:r>
        <w:rPr>
          <w:rFonts w:ascii="Arial" w:cs="Arial" w:eastAsia="Arial" w:hAnsi="Arial"/>
          <w:b/>
          <w:bCs/>
          <w:color w:val="1F2A37"/>
          <w:sz w:val="22"/>
          <w:szCs w:val="22"/>
        </w:rPr>
        <w:t xml:space="preserve">Örnek: </w:t>
      </w:r>
      <w:r>
        <w:rPr>
          <w:rFonts w:ascii="Arial" w:cs="Arial" w:eastAsia="Arial" w:hAnsi="Arial"/>
          <w:color w:val="1F2A37"/>
          <w:sz w:val="22"/>
          <w:szCs w:val="22"/>
        </w:rPr>
        <w:t xml:space="preserve">Daire değeri 3,55 milyon TL ve aylık sübvansiyon 8.000 TL iken gerekli etkin bedel (bedel × tahsilat): giren oran %10'da %0,3; %36'da %1,5; %50'de %2,7; %60'ta %4,1.</w:t>
      </w:r>
    </w:p>
    <w:p>
      <w:pPr>
        <w:pStyle w:val="Heading2"/>
        <w:spacing w:after="100" w:before="240"/>
      </w:pPr>
      <w:r>
        <w:rPr>
          <w:rFonts w:ascii="Arial" w:cs="Arial" w:eastAsia="Arial" w:hAnsi="Arial"/>
          <w:b/>
          <w:bCs/>
          <w:color w:val="1F4E79"/>
          <w:sz w:val="26"/>
          <w:szCs w:val="26"/>
        </w:rPr>
        <w:t xml:space="preserve">10.1 Ölçek ters orantılıdır</w:t>
      </w:r>
    </w:p>
    <w:p>
      <w:pPr>
        <w:spacing w:after="120" w:line="300"/>
      </w:pPr>
      <w:r>
        <w:rPr>
          <w:rFonts w:ascii="Arial" w:cs="Arial" w:eastAsia="Arial" w:hAnsi="Arial"/>
          <w:color w:val="1F2A37"/>
          <w:sz w:val="22"/>
          <w:szCs w:val="22"/>
        </w:rPr>
        <w:t xml:space="preserve">Monte Carlo (1500 çekiliş, 19 parametre aynı anda) şunu gösterir: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2138"/>
      </w:tblGrid>
      <w:tr>
        <w:trPr>
          <w:tblHeader/>
        </w:trPr>
        <w:tc>
          <w:tcPr>
            <w:tcW w:type="dxa" w:w="3500"/>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Yerleşen daire</w:t>
            </w:r>
          </w:p>
        </w:tc>
        <w:tc>
          <w:tcPr>
            <w:tcW w:type="dxa" w:w="2000"/>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Çekiliş</w:t>
            </w:r>
          </w:p>
        </w:tc>
        <w:tc>
          <w:tcPr>
            <w:tcW w:type="dxa" w:w="2000"/>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Kendini finanse eden</w:t>
            </w:r>
          </w:p>
        </w:tc>
        <w:tc>
          <w:tcPr>
            <w:tcW w:type="dxa" w:w="2138"/>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Medyan oran</w:t>
            </w:r>
          </w:p>
        </w:tc>
      </w:tr>
      <w:tr>
        <w:trPr>
          <w:tblHeader w:val="false"/>
        </w:trPr>
        <w:tc>
          <w:tcPr>
            <w:tcW w:type="dxa" w:w="3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25 bin altı</w:t>
            </w:r>
          </w:p>
        </w:tc>
        <w:tc>
          <w:tcPr>
            <w:tcW w:type="dxa" w:w="20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114</w:t>
            </w:r>
          </w:p>
        </w:tc>
        <w:tc>
          <w:tcPr>
            <w:tcW w:type="dxa" w:w="20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%100</w:t>
            </w:r>
          </w:p>
        </w:tc>
        <w:tc>
          <w:tcPr>
            <w:tcW w:type="dxa" w:w="21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16,0</w:t>
            </w:r>
          </w:p>
        </w:tc>
      </w:tr>
      <w:tr>
        <w:trPr>
          <w:tblHeader w:val="false"/>
        </w:trPr>
        <w:tc>
          <w:tcPr>
            <w:tcW w:type="dxa" w:w="3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25-75 bin</w:t>
            </w:r>
          </w:p>
        </w:tc>
        <w:tc>
          <w:tcPr>
            <w:tcW w:type="dxa" w:w="20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368</w:t>
            </w:r>
          </w:p>
        </w:tc>
        <w:tc>
          <w:tcPr>
            <w:tcW w:type="dxa" w:w="20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%98</w:t>
            </w:r>
          </w:p>
        </w:tc>
        <w:tc>
          <w:tcPr>
            <w:tcW w:type="dxa" w:w="21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3,9</w:t>
            </w:r>
          </w:p>
        </w:tc>
      </w:tr>
      <w:tr>
        <w:trPr>
          <w:tblHeader w:val="false"/>
        </w:trPr>
        <w:tc>
          <w:tcPr>
            <w:tcW w:type="dxa" w:w="3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75-150 bin</w:t>
            </w:r>
          </w:p>
        </w:tc>
        <w:tc>
          <w:tcPr>
            <w:tcW w:type="dxa" w:w="20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670</w:t>
            </w:r>
          </w:p>
        </w:tc>
        <w:tc>
          <w:tcPr>
            <w:tcW w:type="dxa" w:w="20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%85</w:t>
            </w:r>
          </w:p>
        </w:tc>
        <w:tc>
          <w:tcPr>
            <w:tcW w:type="dxa" w:w="21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1,8</w:t>
            </w:r>
          </w:p>
        </w:tc>
      </w:tr>
      <w:tr>
        <w:trPr>
          <w:tblHeader w:val="false"/>
        </w:trPr>
        <w:tc>
          <w:tcPr>
            <w:tcW w:type="dxa" w:w="3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150 bin üstü</w:t>
            </w:r>
          </w:p>
        </w:tc>
        <w:tc>
          <w:tcPr>
            <w:tcW w:type="dxa" w:w="20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348</w:t>
            </w:r>
          </w:p>
        </w:tc>
        <w:tc>
          <w:tcPr>
            <w:tcW w:type="dxa" w:w="20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%57</w:t>
            </w:r>
          </w:p>
        </w:tc>
        <w:tc>
          <w:tcPr>
            <w:tcW w:type="dxa" w:w="21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right"/>
            </w:pPr>
            <w:r>
              <w:rPr>
                <w:rFonts w:ascii="Arial" w:cs="Arial" w:eastAsia="Arial" w:hAnsi="Arial"/>
                <w:b w:val="false"/>
                <w:bCs w:val="false"/>
                <w:color w:val="1F2A37"/>
                <w:sz w:val="20"/>
                <w:szCs w:val="20"/>
              </w:rPr>
              <w:t xml:space="preserve">1,1</w:t>
            </w:r>
          </w:p>
        </w:tc>
      </w:tr>
    </w:tbl>
    <w:p>
      <w:pPr>
        <w:spacing w:after="100"/>
      </w:pPr>
    </w:p>
    <w:p>
      <w:pPr>
        <w:spacing w:after="120" w:line="300"/>
      </w:pPr>
      <w:r>
        <w:rPr>
          <w:rFonts w:ascii="Arial" w:cs="Arial" w:eastAsia="Arial" w:hAnsi="Arial"/>
          <w:color w:val="1F2A37"/>
          <w:sz w:val="22"/>
          <w:szCs w:val="22"/>
        </w:rPr>
        <w:t xml:space="preserve">Küçük programlar kendini finanse eder, büyükler etmez (korelasyon −0,72). "Çok daire girsin" ve "kendini finanse etsin" birbirine ters çeken iki hedeftir.</w:t>
      </w:r>
    </w:p>
    <w:p>
      <w:pPr>
        <w:pStyle w:val="Heading1"/>
        <w:spacing w:after="160" w:before="360"/>
      </w:pPr>
      <w:r>
        <w:rPr>
          <w:rFonts w:ascii="Arial" w:cs="Arial" w:eastAsia="Arial" w:hAnsi="Arial"/>
          <w:b/>
          <w:bCs/>
          <w:color w:val="1F4E79"/>
          <w:sz w:val="32"/>
          <w:szCs w:val="32"/>
        </w:rPr>
        <w:t xml:space="preserve">11. Testler ve doğrulama</w:t>
      </w:r>
    </w:p>
    <w:p>
      <w:pPr>
        <w:pStyle w:val="Heading2"/>
        <w:spacing w:after="100" w:before="240"/>
      </w:pPr>
      <w:r>
        <w:rPr>
          <w:rFonts w:ascii="Arial" w:cs="Arial" w:eastAsia="Arial" w:hAnsi="Arial"/>
          <w:b/>
          <w:bCs/>
          <w:color w:val="1F4E79"/>
          <w:sz w:val="26"/>
          <w:szCs w:val="26"/>
        </w:rPr>
        <w:t xml:space="preserve">11.1 Otomatik testler (40 test)</w:t>
      </w:r>
    </w:p>
    <w:p>
      <w:pPr>
        <w:pStyle w:val="ListParagraph"/>
        <w:numPr>
          <w:ilvl w:val="0"/>
          <w:numId w:val="2"/>
        </w:numPr>
        <w:spacing w:after="70" w:line="290"/>
      </w:pPr>
      <w:r>
        <w:rPr>
          <w:rFonts w:ascii="Arial" w:cs="Arial" w:eastAsia="Arial" w:hAnsi="Arial"/>
          <w:color w:val="1F2A37"/>
          <w:sz w:val="22"/>
          <w:szCs w:val="22"/>
        </w:rPr>
        <w:t xml:space="preserve">Model değişmezleri: anapara korunur, negatife düşmez; kira iki katına çıkınca havuz iki katına çıkar.</w:t>
      </w:r>
    </w:p>
    <w:p>
      <w:pPr>
        <w:pStyle w:val="ListParagraph"/>
        <w:numPr>
          <w:ilvl w:val="0"/>
          <w:numId w:val="2"/>
        </w:numPr>
        <w:spacing w:after="70" w:line="290"/>
      </w:pPr>
      <w:r>
        <w:rPr>
          <w:rFonts w:ascii="Arial" w:cs="Arial" w:eastAsia="Arial" w:hAnsi="Arial"/>
          <w:color w:val="1F2A37"/>
          <w:sz w:val="22"/>
          <w:szCs w:val="22"/>
        </w:rPr>
        <w:t xml:space="preserve">Rastgele girdili testler: 200 rastgele daire grubunda korunum, 150 rastgele parametre kümesinde tüm çıktılar sonlu.</w:t>
      </w:r>
    </w:p>
    <w:p>
      <w:pPr>
        <w:pStyle w:val="ListParagraph"/>
        <w:numPr>
          <w:ilvl w:val="0"/>
          <w:numId w:val="2"/>
        </w:numPr>
        <w:spacing w:after="70" w:line="290"/>
      </w:pPr>
      <w:r>
        <w:rPr>
          <w:rFonts w:ascii="Arial" w:cs="Arial" w:eastAsia="Arial" w:hAnsi="Arial"/>
          <w:color w:val="1F2A37"/>
          <w:sz w:val="22"/>
          <w:szCs w:val="22"/>
        </w:rPr>
        <w:t xml:space="preserve">Katılım kuralı: sınırlar içinde, beklenen artış arttıkça düşer, bedel arttıkça artar.</w:t>
      </w:r>
    </w:p>
    <w:p>
      <w:pPr>
        <w:pStyle w:val="ListParagraph"/>
        <w:numPr>
          <w:ilvl w:val="0"/>
          <w:numId w:val="2"/>
        </w:numPr>
        <w:spacing w:after="70" w:line="290"/>
      </w:pPr>
      <w:r>
        <w:rPr>
          <w:rFonts w:ascii="Arial" w:cs="Arial" w:eastAsia="Arial" w:hAnsi="Arial"/>
          <w:color w:val="1F2A37"/>
          <w:sz w:val="22"/>
          <w:szCs w:val="22"/>
        </w:rPr>
        <w:t xml:space="preserve">Lüks tepkisi ve kaçınma: tepki monoton ve sınırlı; kaçınma dahil gelirin içte bir tepesi var.</w:t>
      </w:r>
    </w:p>
    <w:p>
      <w:pPr>
        <w:pStyle w:val="ListParagraph"/>
        <w:numPr>
          <w:ilvl w:val="0"/>
          <w:numId w:val="2"/>
        </w:numPr>
        <w:spacing w:after="70" w:line="290"/>
      </w:pPr>
      <w:r>
        <w:rPr>
          <w:rFonts w:ascii="Arial" w:cs="Arial" w:eastAsia="Arial" w:hAnsi="Arial"/>
          <w:color w:val="1F2A37"/>
          <w:sz w:val="22"/>
          <w:szCs w:val="22"/>
        </w:rPr>
        <w:t xml:space="preserve">Gelir dağılımı: üst %20 payı TÜİK ile uyumlu; Gini ve yoksulluk hesabı doğru yönde.</w:t>
      </w:r>
    </w:p>
    <w:p>
      <w:pPr>
        <w:pStyle w:val="Heading2"/>
        <w:spacing w:after="100" w:before="240"/>
      </w:pPr>
      <w:r>
        <w:rPr>
          <w:rFonts w:ascii="Arial" w:cs="Arial" w:eastAsia="Arial" w:hAnsi="Arial"/>
          <w:b/>
          <w:bCs/>
          <w:color w:val="1F4E79"/>
          <w:sz w:val="26"/>
          <w:szCs w:val="26"/>
        </w:rPr>
        <w:t xml:space="preserve">11.2 Gerçeklik kontrolleri</w:t>
      </w:r>
    </w:p>
    <w:p>
      <w:pPr>
        <w:spacing w:after="120" w:line="300"/>
      </w:pPr>
      <w:r>
        <w:rPr>
          <w:rFonts w:ascii="Arial" w:cs="Arial" w:eastAsia="Arial" w:hAnsi="Arial"/>
          <w:color w:val="1F2A37"/>
          <w:sz w:val="22"/>
          <w:szCs w:val="22"/>
        </w:rPr>
        <w:t xml:space="preserve">15 kontrol: 4 uyumlu, 9 uyarı, 2 doğrulanamaz. Başlıca uyarılar: modelin boşluk oranı (%3,7) boş stok tahminlerinin altında; politika kirasının getirisi (%3,8) piyasanın (%8,6) çok altında; ilk yıl enflasyon yolu gözlenenin 2-3 puan altında; beklenti kuralının tahmin gücü yok; etkin tahsilat varsayımı iyimser olabilir. Doğrulanamayanlar: katılım fonksiyonu ve kişi başı sübvansiyon.</w:t>
      </w:r>
    </w:p>
    <w:p>
      <w:pPr>
        <w:pStyle w:val="Heading2"/>
        <w:spacing w:after="100" w:before="240"/>
      </w:pPr>
      <w:r>
        <w:rPr>
          <w:rFonts w:ascii="Arial" w:cs="Arial" w:eastAsia="Arial" w:hAnsi="Arial"/>
          <w:b/>
          <w:bCs/>
          <w:color w:val="1F4E79"/>
          <w:sz w:val="26"/>
          <w:szCs w:val="26"/>
        </w:rPr>
        <w:t xml:space="preserve">11.3 Hangi girdi sonucu en çok belirliyor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2700"/>
        <w:gridCol w:w="2738"/>
      </w:tblGrid>
      <w:tr>
        <w:trPr>
          <w:tblHeader/>
        </w:trPr>
        <w:tc>
          <w:tcPr>
            <w:tcW w:type="dxa" w:w="4200"/>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Girdi</w:t>
            </w:r>
          </w:p>
        </w:tc>
        <w:tc>
          <w:tcPr>
            <w:tcW w:type="dxa" w:w="2700"/>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Oranı belirleme gücü</w:t>
            </w:r>
          </w:p>
        </w:tc>
        <w:tc>
          <w:tcPr>
            <w:tcW w:type="dxa" w:w="2738"/>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Kanıt durumu</w:t>
            </w:r>
          </w:p>
        </w:tc>
      </w:tr>
      <w:tr>
        <w:trPr>
          <w:tblHeader w:val="false"/>
        </w:trPr>
        <w:tc>
          <w:tcPr>
            <w:tcW w:type="dxa" w:w="42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Beklenen reel konut artışı</w:t>
            </w:r>
          </w:p>
        </w:tc>
        <w:tc>
          <w:tcPr>
            <w:tcW w:type="dxa" w:w="2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En yüksek (0,63)</w:t>
            </w:r>
          </w:p>
        </w:tc>
        <w:tc>
          <w:tcPr>
            <w:tcW w:type="dxa" w:w="27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Tahmin gücü yok</w:t>
            </w:r>
          </w:p>
        </w:tc>
      </w:tr>
      <w:tr>
        <w:trPr>
          <w:tblHeader w:val="false"/>
        </w:trPr>
        <w:tc>
          <w:tcPr>
            <w:tcW w:type="dxa" w:w="42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Katılım tavanı</w:t>
            </w:r>
          </w:p>
        </w:tc>
        <w:tc>
          <w:tcPr>
            <w:tcW w:type="dxa" w:w="2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Çok yüksek (−0,41)</w:t>
            </w:r>
          </w:p>
        </w:tc>
        <w:tc>
          <w:tcPr>
            <w:tcW w:type="dxa" w:w="27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Kalibre edilemez</w:t>
            </w:r>
          </w:p>
        </w:tc>
      </w:tr>
      <w:tr>
        <w:trPr>
          <w:tblHeader w:val="false"/>
        </w:trPr>
        <w:tc>
          <w:tcPr>
            <w:tcW w:type="dxa" w:w="42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Hane gelir ölçeği</w:t>
            </w:r>
          </w:p>
        </w:tc>
        <w:tc>
          <w:tcPr>
            <w:tcW w:type="dxa" w:w="2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Yüksek (0,26)</w:t>
            </w:r>
          </w:p>
        </w:tc>
        <w:tc>
          <w:tcPr>
            <w:tcW w:type="dxa" w:w="27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Dört kanıt, aralık geniş</w:t>
            </w:r>
          </w:p>
        </w:tc>
      </w:tr>
      <w:tr>
        <w:trPr>
          <w:tblHeader w:val="false"/>
        </w:trPr>
        <w:tc>
          <w:tcPr>
            <w:tcW w:type="dxa" w:w="42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Genel bedel, etkin tahsilat</w:t>
            </w:r>
          </w:p>
        </w:tc>
        <w:tc>
          <w:tcPr>
            <w:tcW w:type="dxa" w:w="2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Orta (0,2)</w:t>
            </w:r>
          </w:p>
        </w:tc>
        <w:tc>
          <w:tcPr>
            <w:tcW w:type="dxa" w:w="27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Varsayım</w:t>
            </w:r>
          </w:p>
        </w:tc>
      </w:tr>
      <w:tr>
        <w:trPr>
          <w:tblHeader w:val="false"/>
        </w:trPr>
        <w:tc>
          <w:tcPr>
            <w:tcW w:type="dxa" w:w="42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Kira/gelir kuralı, uygun kitle</w:t>
            </w:r>
          </w:p>
        </w:tc>
        <w:tc>
          <w:tcPr>
            <w:tcW w:type="dxa" w:w="2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Orta (0,18)</w:t>
            </w:r>
          </w:p>
        </w:tc>
        <w:tc>
          <w:tcPr>
            <w:tcW w:type="dxa" w:w="27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Politika kararı</w:t>
            </w:r>
          </w:p>
        </w:tc>
      </w:tr>
      <w:tr>
        <w:trPr>
          <w:tblHeader w:val="false"/>
        </w:trPr>
        <w:tc>
          <w:tcPr>
            <w:tcW w:type="dxa" w:w="42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Bakım, aidat, enflasyon yolu</w:t>
            </w:r>
          </w:p>
        </w:tc>
        <w:tc>
          <w:tcPr>
            <w:tcW w:type="dxa" w:w="2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Neredeyse sıfır</w:t>
            </w:r>
          </w:p>
        </w:tc>
        <w:tc>
          <w:tcPr>
            <w:tcW w:type="dxa" w:w="27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Önemsiz</w:t>
            </w:r>
          </w:p>
        </w:tc>
      </w:tr>
    </w:tbl>
    <w:p>
      <w:pPr>
        <w:spacing w:after="100"/>
      </w:pPr>
    </w:p>
    <w:p>
      <w:pPr>
        <w:spacing w:after="120" w:line="300"/>
      </w:pPr>
      <w:r>
        <w:rPr>
          <w:rFonts w:ascii="Arial" w:cs="Arial" w:eastAsia="Arial" w:hAnsi="Arial"/>
          <w:color w:val="1F2A37"/>
          <w:sz w:val="22"/>
          <w:szCs w:val="22"/>
        </w:rPr>
        <w:t xml:space="preserve">Önemli bir sonuç: tartıştığımız birçok ayrıntı (bakım oranı, aidat, enflasyon yolu) sonucu çok az etkiliyor. Asıl belirleyici olan üç şey, hem en etkili hem en az kanıtlanmış olanlardır.</w:t>
      </w:r>
    </w:p>
    <w:p>
      <w:pPr>
        <w:pStyle w:val="Heading1"/>
        <w:spacing w:after="160" w:before="360"/>
      </w:pPr>
      <w:r>
        <w:rPr>
          <w:rFonts w:ascii="Arial" w:cs="Arial" w:eastAsia="Arial" w:hAnsi="Arial"/>
          <w:b/>
          <w:bCs/>
          <w:color w:val="1F4E79"/>
          <w:sz w:val="32"/>
          <w:szCs w:val="32"/>
        </w:rPr>
        <w:t xml:space="preserve">12. Neye güvenilir, neye güvenilmez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tblHeader/>
        </w:trPr>
        <w:tc>
          <w:tcPr>
            <w:tcW w:type="dxa" w:w="4800"/>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Sağlam (hangi varsayımı seçersen seç çıkar)</w:t>
            </w:r>
          </w:p>
        </w:tc>
        <w:tc>
          <w:tcPr>
            <w:tcW w:type="dxa" w:w="4838"/>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Zayıf (varsayıma bağlı)</w:t>
            </w:r>
          </w:p>
        </w:tc>
      </w:tr>
      <w:tr>
        <w:trPr>
          <w:tblHeader w:val="false"/>
        </w:trPr>
        <w:tc>
          <w:tcPr>
            <w:tcW w:type="dxa" w:w="48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Ters döngülülük: fiyat patlarken katılım sıfıra yakın.</w:t>
            </w:r>
          </w:p>
        </w:tc>
        <w:tc>
          <w:tcPr>
            <w:tcW w:type="dxa" w:w="48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Giren daire sayısı (katılım tavanı ve eğimine bağlı).</w:t>
            </w:r>
          </w:p>
        </w:tc>
      </w:tr>
      <w:tr>
        <w:trPr>
          <w:tblHeader w:val="false"/>
        </w:trPr>
        <w:tc>
          <w:tcPr>
            <w:tcW w:type="dxa" w:w="48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Ölçek büyüdükçe kendini finanse etmek zorlaşır.</w:t>
            </w:r>
          </w:p>
        </w:tc>
        <w:tc>
          <w:tcPr>
            <w:tcW w:type="dxa" w:w="48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Kendini finanse edip etmediği (hane geliri ve tahsilata bağlı, başabaş civarında).</w:t>
            </w:r>
          </w:p>
        </w:tc>
      </w:tr>
      <w:tr>
        <w:trPr>
          <w:tblHeader w:val="false"/>
        </w:trPr>
        <w:tc>
          <w:tcPr>
            <w:tcW w:type="dxa" w:w="48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Bedel, katılımı artırmada zayıf bir araç; asıl etkisi boşluğu azaltmak.</w:t>
            </w:r>
          </w:p>
        </w:tc>
        <w:tc>
          <w:tcPr>
            <w:tcW w:type="dxa" w:w="48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Yıllık sübvansiyon ve toplam yük.</w:t>
            </w:r>
          </w:p>
        </w:tc>
      </w:tr>
      <w:tr>
        <w:trPr>
          <w:tblHeader w:val="false"/>
        </w:trPr>
        <w:tc>
          <w:tcPr>
            <w:tcW w:type="dxa" w:w="48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Sübvansiyon bir sosyal kira kararıdır, boş stoğu kullandırmanın maliyeti değil.</w:t>
            </w:r>
          </w:p>
        </w:tc>
        <w:tc>
          <w:tcPr>
            <w:tcW w:type="dxa" w:w="48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Lüks bedelden gelecek gelir (tahsilat varsayımı).</w:t>
            </w:r>
          </w:p>
        </w:tc>
      </w:tr>
      <w:tr>
        <w:trPr>
          <w:tblHeader w:val="false"/>
        </w:trPr>
        <w:tc>
          <w:tcPr>
            <w:tcW w:type="dxa" w:w="48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Para tek başına ölçeği büyütmez, kullanılabilir stok gerekir.</w:t>
            </w:r>
          </w:p>
        </w:tc>
        <w:tc>
          <w:tcPr>
            <w:tcW w:type="dxa" w:w="48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Piyasa kirasına etki (esneklik varsayımı).</w:t>
            </w:r>
          </w:p>
        </w:tc>
      </w:tr>
    </w:tbl>
    <w:p>
      <w:pPr>
        <w:spacing w:after="100"/>
      </w:pPr>
    </w:p>
    <w:p>
      <w:pPr>
        <w:pStyle w:val="Heading2"/>
        <w:spacing w:after="100" w:before="240"/>
      </w:pPr>
      <w:r>
        <w:rPr>
          <w:rFonts w:ascii="Arial" w:cs="Arial" w:eastAsia="Arial" w:hAnsi="Arial"/>
          <w:b/>
          <w:bCs/>
          <w:color w:val="1F4E79"/>
          <w:sz w:val="26"/>
          <w:szCs w:val="26"/>
        </w:rPr>
        <w:t xml:space="preserve">12.1 Bilinen eksikler</w:t>
      </w:r>
    </w:p>
    <w:p>
      <w:pPr>
        <w:pStyle w:val="ListParagraph"/>
        <w:numPr>
          <w:ilvl w:val="0"/>
          <w:numId w:val="2"/>
        </w:numPr>
        <w:spacing w:after="70" w:line="290"/>
      </w:pPr>
      <w:r>
        <w:rPr>
          <w:rFonts w:ascii="Arial" w:cs="Arial" w:eastAsia="Arial" w:hAnsi="Arial"/>
          <w:color w:val="1F2A37"/>
          <w:sz w:val="22"/>
          <w:szCs w:val="22"/>
        </w:rPr>
        <w:t xml:space="preserve">Boş konutların kaçının oturulabilir olduğu ve tadilat maliyeti bilinmiyor.</w:t>
      </w:r>
    </w:p>
    <w:p>
      <w:pPr>
        <w:pStyle w:val="ListParagraph"/>
        <w:numPr>
          <w:ilvl w:val="0"/>
          <w:numId w:val="2"/>
        </w:numPr>
        <w:spacing w:after="70" w:line="290"/>
      </w:pPr>
      <w:r>
        <w:rPr>
          <w:rFonts w:ascii="Arial" w:cs="Arial" w:eastAsia="Arial" w:hAnsi="Arial"/>
          <w:color w:val="1F2A37"/>
          <w:sz w:val="22"/>
          <w:szCs w:val="22"/>
        </w:rPr>
        <w:t xml:space="preserve">İstanbul'a özgü kiracı hane payı bulunamadı (ulusal %27 kullanıldı).</w:t>
      </w:r>
    </w:p>
    <w:p>
      <w:pPr>
        <w:pStyle w:val="ListParagraph"/>
        <w:numPr>
          <w:ilvl w:val="0"/>
          <w:numId w:val="2"/>
        </w:numPr>
        <w:spacing w:after="70" w:line="290"/>
      </w:pPr>
      <w:r>
        <w:rPr>
          <w:rFonts w:ascii="Arial" w:cs="Arial" w:eastAsia="Arial" w:hAnsi="Arial"/>
          <w:color w:val="1F2A37"/>
          <w:sz w:val="22"/>
          <w:szCs w:val="22"/>
        </w:rPr>
        <w:t xml:space="preserve">Hane başına ücretli çalışan sayısı varsayım (1,5).</w:t>
      </w:r>
    </w:p>
    <w:p>
      <w:pPr>
        <w:pStyle w:val="ListParagraph"/>
        <w:numPr>
          <w:ilvl w:val="0"/>
          <w:numId w:val="2"/>
        </w:numPr>
        <w:spacing w:after="70" w:line="290"/>
      </w:pPr>
      <w:r>
        <w:rPr>
          <w:rFonts w:ascii="Arial" w:cs="Arial" w:eastAsia="Arial" w:hAnsi="Arial"/>
          <w:color w:val="1F2A37"/>
          <w:sz w:val="22"/>
          <w:szCs w:val="22"/>
        </w:rPr>
        <w:t xml:space="preserve">Boş konutun değer sırasına dağılımı bilinmiyor; lüks ve yatırım konutlarına kayık olabilir.</w:t>
      </w:r>
    </w:p>
    <w:p>
      <w:pPr>
        <w:pStyle w:val="ListParagraph"/>
        <w:numPr>
          <w:ilvl w:val="0"/>
          <w:numId w:val="2"/>
        </w:numPr>
        <w:spacing w:after="70" w:line="290"/>
      </w:pPr>
      <w:r>
        <w:rPr>
          <w:rFonts w:ascii="Arial" w:cs="Arial" w:eastAsia="Arial" w:hAnsi="Arial"/>
          <w:color w:val="1F2A37"/>
          <w:sz w:val="22"/>
          <w:szCs w:val="22"/>
        </w:rPr>
        <w:t xml:space="preserve">Hukuki çerçeve (bedelin vergi mi harç mı olduğu, anayasal sınırlar) hiç modellenmedi.</w:t>
      </w:r>
    </w:p>
    <w:p>
      <w:pPr>
        <w:pStyle w:val="ListParagraph"/>
        <w:numPr>
          <w:ilvl w:val="0"/>
          <w:numId w:val="2"/>
        </w:numPr>
        <w:spacing w:after="70" w:line="290"/>
      </w:pPr>
      <w:r>
        <w:rPr>
          <w:rFonts w:ascii="Arial" w:cs="Arial" w:eastAsia="Arial" w:hAnsi="Arial"/>
          <w:color w:val="1F2A37"/>
          <w:sz w:val="22"/>
          <w:szCs w:val="22"/>
        </w:rPr>
        <w:t xml:space="preserve">Eylül 2026 TÜFE'si açıklanmadan önce çalışıldı; sonuçlar hafif kayabilir.</w:t>
      </w:r>
    </w:p>
    <w:p>
      <w:pPr>
        <w:pStyle w:val="ListParagraph"/>
        <w:numPr>
          <w:ilvl w:val="0"/>
          <w:numId w:val="2"/>
        </w:numPr>
        <w:spacing w:after="70" w:line="290"/>
      </w:pPr>
      <w:r>
        <w:rPr>
          <w:rFonts w:ascii="Arial" w:cs="Arial" w:eastAsia="Arial" w:hAnsi="Arial"/>
          <w:color w:val="1F2A37"/>
          <w:sz w:val="22"/>
          <w:szCs w:val="22"/>
        </w:rPr>
        <w:t xml:space="preserve">Yeni konut üretimi, kredi ve talep tarafı modelde yok.</w:t>
      </w:r>
    </w:p>
    <w:p>
      <w:pPr>
        <w:pStyle w:val="Heading1"/>
        <w:spacing w:after="160" w:before="360"/>
      </w:pPr>
      <w:r>
        <w:rPr>
          <w:rFonts w:ascii="Arial" w:cs="Arial" w:eastAsia="Arial" w:hAnsi="Arial"/>
          <w:b/>
          <w:bCs/>
          <w:color w:val="1F4E79"/>
          <w:sz w:val="32"/>
          <w:szCs w:val="32"/>
        </w:rPr>
        <w:t xml:space="preserve">13. Sonuç</w:t>
      </w:r>
    </w:p>
    <w:p>
      <w:pPr>
        <w:spacing w:after="120" w:line="300"/>
      </w:pPr>
      <w:r>
        <w:rPr>
          <w:rFonts w:ascii="Arial" w:cs="Arial" w:eastAsia="Arial" w:hAnsi="Arial"/>
          <w:color w:val="1F2A37"/>
          <w:sz w:val="22"/>
          <w:szCs w:val="22"/>
        </w:rPr>
        <w:t xml:space="preserve">HEKİS, boş stoğu kullandırmanın maliyetini kira farkından ve abonelikten ibaret gösteriyor; stoğu kullandırmanın kendisi bedava. Kendini finanse etme bir ölçek meselesi: küçük programlar finanse eder, büyükler etmez.</w:t>
      </w:r>
    </w:p>
    <w:p>
      <w:pPr>
        <w:spacing w:after="120" w:line="300"/>
      </w:pPr>
      <w:r>
        <w:rPr>
          <w:rFonts w:ascii="Arial" w:cs="Arial" w:eastAsia="Arial" w:hAnsi="Arial"/>
          <w:color w:val="1F2A37"/>
          <w:sz w:val="22"/>
          <w:szCs w:val="22"/>
        </w:rPr>
        <w:t xml:space="preserve">Sistemin yönü sağlam: ters döngülü, ölçek büyüdükçe finansman daralıyor, bedel katılımı artırmada zayıf. Büyüklükleri ise üç şey belirliyor ve hiçbiri kalibre edilemiyor: sahibin beklentisi, katılım tavanı ve etkin tahsilat. Bu yüzden sonuçları bir nokta tahmini olarak değil, bir aralık ve yön olarak okumak gerekir.</w:t>
      </w:r>
    </w:p>
    <w:p>
      <w:pPr>
        <w:spacing w:after="120" w:line="300"/>
      </w:pPr>
      <w:r>
        <w:rPr>
          <w:rFonts w:ascii="Arial" w:cs="Arial" w:eastAsia="Arial" w:hAnsi="Arial"/>
          <w:color w:val="1F2A37"/>
          <w:sz w:val="22"/>
          <w:szCs w:val="22"/>
        </w:rPr>
        <w:t xml:space="preserve">Modeli bundan sonra daraltacak tek şey gerçek bir gözlemdir: bir pilot uygulama, boş konutun fiziki durumu, tadilat maliyeti ve İstanbul'a özgü hane geliri mikro verisi.</w:t>
      </w:r>
    </w:p>
    <w:p>
      <w:pPr>
        <w:pStyle w:val="Heading1"/>
        <w:spacing w:after="160" w:before="360"/>
      </w:pPr>
      <w:r>
        <w:rPr>
          <w:rFonts w:ascii="Arial" w:cs="Arial" w:eastAsia="Arial" w:hAnsi="Arial"/>
          <w:b/>
          <w:bCs/>
          <w:color w:val="1F4E79"/>
          <w:sz w:val="32"/>
          <w:szCs w:val="32"/>
        </w:rPr>
        <w:t xml:space="preserve">Ek A. Modeli çalıştırmak</w:t>
      </w:r>
    </w:p>
    <w:p>
      <w:pPr>
        <w:spacing w:after="120" w:line="300"/>
      </w:pPr>
      <w:r>
        <w:rPr>
          <w:rFonts w:ascii="Arial" w:cs="Arial" w:eastAsia="Arial" w:hAnsi="Arial"/>
          <w:color w:val="1F2A37"/>
          <w:sz w:val="22"/>
          <w:szCs w:val="22"/>
        </w:rPr>
        <w:t xml:space="preserve">Python 3 yeter, ek paket gerekmez. Proje dizininde: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00"/>
        <w:gridCol w:w="5538"/>
      </w:tblGrid>
      <w:tr>
        <w:trPr>
          <w:tblHeader/>
        </w:trPr>
        <w:tc>
          <w:tcPr>
            <w:tcW w:type="dxa" w:w="4100"/>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Komut</w:t>
            </w:r>
          </w:p>
        </w:tc>
        <w:tc>
          <w:tcPr>
            <w:tcW w:type="dxa" w:w="5538"/>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Ne yapar</w:t>
            </w:r>
          </w:p>
        </w:tc>
      </w:tr>
      <w:tr>
        <w:trPr>
          <w:tblHeader w:val="false"/>
        </w:trPr>
        <w:tc>
          <w:tcPr>
            <w:tcW w:type="dxa" w:w="41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python -m unittest discover -s tests</w:t>
            </w:r>
          </w:p>
        </w:tc>
        <w:tc>
          <w:tcPr>
            <w:tcW w:type="dxa" w:w="55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40 otomatik testi çalıştırır.</w:t>
            </w:r>
          </w:p>
        </w:tc>
      </w:tr>
      <w:tr>
        <w:trPr>
          <w:tblHeader w:val="false"/>
        </w:trPr>
        <w:tc>
          <w:tcPr>
            <w:tcW w:type="dxa" w:w="41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python -m hekis.checks</w:t>
            </w:r>
          </w:p>
        </w:tc>
        <w:tc>
          <w:tcPr>
            <w:tcW w:type="dxa" w:w="55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Gerçeklik kontrolleri.</w:t>
            </w:r>
          </w:p>
        </w:tc>
      </w:tr>
      <w:tr>
        <w:trPr>
          <w:tblHeader w:val="false"/>
        </w:trPr>
        <w:tc>
          <w:tcPr>
            <w:tcW w:type="dxa" w:w="41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python -m hekis.analysis</w:t>
            </w:r>
          </w:p>
        </w:tc>
        <w:tc>
          <w:tcPr>
            <w:tcW w:type="dxa" w:w="55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Tornado, Monte Carlo, rank korelasyonu, ters stres.</w:t>
            </w:r>
          </w:p>
        </w:tc>
      </w:tr>
      <w:tr>
        <w:trPr>
          <w:tblHeader w:val="false"/>
        </w:trPr>
        <w:tc>
          <w:tcPr>
            <w:tcW w:type="dxa" w:w="41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python -m hekis.final</w:t>
            </w:r>
          </w:p>
        </w:tc>
        <w:tc>
          <w:tcPr>
            <w:tcW w:type="dxa" w:w="55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Üç sistem, lüks ayrımı, lüks bedel tarifesi.</w:t>
            </w:r>
          </w:p>
        </w:tc>
      </w:tr>
      <w:tr>
        <w:trPr>
          <w:tblHeader w:val="false"/>
        </w:trPr>
        <w:tc>
          <w:tcPr>
            <w:tcW w:type="dxa" w:w="41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python -m hekis.zones</w:t>
            </w:r>
          </w:p>
        </w:tc>
        <w:tc>
          <w:tcPr>
            <w:tcW w:type="dxa" w:w="55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Üç bölge, varyantlar, fazla gelir geri dönüşü.</w:t>
            </w:r>
          </w:p>
        </w:tc>
      </w:tr>
      <w:tr>
        <w:trPr>
          <w:tblHeader w:val="false"/>
        </w:trPr>
        <w:tc>
          <w:tcPr>
            <w:tcW w:type="dxa" w:w="41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python -m hekis.union</w:t>
            </w:r>
          </w:p>
        </w:tc>
        <w:tc>
          <w:tcPr>
            <w:tcW w:type="dxa" w:w="55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Hane geliri anchor'ları (sendika, TÜİK, İPA), memur eşiği.</w:t>
            </w:r>
          </w:p>
        </w:tc>
      </w:tr>
      <w:tr>
        <w:trPr>
          <w:tblHeader w:val="false"/>
        </w:trPr>
        <w:tc>
          <w:tcPr>
            <w:tcW w:type="dxa" w:w="41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python -m hekis.reality</w:t>
            </w:r>
          </w:p>
        </w:tc>
        <w:tc>
          <w:tcPr>
            <w:tcW w:type="dxa" w:w="55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Güncel veriyle en olası senaryo, faiz kanalı, etkiler.</w:t>
            </w:r>
          </w:p>
        </w:tc>
      </w:tr>
      <w:tr>
        <w:trPr>
          <w:tblHeader w:val="false"/>
        </w:trPr>
        <w:tc>
          <w:tcPr>
            <w:tcW w:type="dxa" w:w="41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python -m hekis.selffinance</w:t>
            </w:r>
          </w:p>
        </w:tc>
        <w:tc>
          <w:tcPr>
            <w:tcW w:type="dxa" w:w="55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Kendini finanse etme cebiri.</w:t>
            </w:r>
          </w:p>
        </w:tc>
      </w:tr>
      <w:tr>
        <w:trPr>
          <w:tblHeader w:val="false"/>
        </w:trPr>
        <w:tc>
          <w:tcPr>
            <w:tcW w:type="dxa" w:w="41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python -m hekis.calibrate</w:t>
            </w:r>
          </w:p>
        </w:tc>
        <w:tc>
          <w:tcPr>
            <w:tcW w:type="dxa" w:w="55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Beklenti kuralı kalibrasyonu, katılım bandı.</w:t>
            </w:r>
          </w:p>
        </w:tc>
      </w:tr>
    </w:tbl>
    <w:p>
      <w:pPr>
        <w:pStyle w:val="Heading1"/>
        <w:spacing w:after="160" w:before="360"/>
      </w:pPr>
      <w:r>
        <w:rPr>
          <w:rFonts w:ascii="Arial" w:cs="Arial" w:eastAsia="Arial" w:hAnsi="Arial"/>
          <w:b/>
          <w:bCs/>
          <w:color w:val="1F4E79"/>
          <w:sz w:val="32"/>
          <w:szCs w:val="32"/>
        </w:rPr>
        <w:t xml:space="preserve">Ek B. Sözlük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Terim</w:t>
            </w:r>
          </w:p>
        </w:tc>
        <w:tc>
          <w:tcPr>
            <w:tcW w:type="dxa" w:w="7038"/>
            <w:tcBorders>
              <w:top w:val="single" w:color="B8C4D0" w:sz="4"/>
              <w:left w:val="single" w:color="B8C4D0" w:sz="4"/>
              <w:bottom w:val="single" w:color="B8C4D0" w:sz="4"/>
              <w:right w:val="single" w:color="B8C4D0" w:sz="4"/>
            </w:tcBorders>
            <w:shd w:fill="D9E5F2" w:color="auto" w:val="clear"/>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Anlamı</w:t>
            </w:r>
          </w:p>
        </w:tc>
      </w:tr>
      <w:tr>
        <w:trPr>
          <w:tblHeader w:val="false"/>
        </w:trPr>
        <w:tc>
          <w:tcPr>
            <w:tcW w:type="dxa" w:w="26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HEKİS</w:t>
            </w:r>
          </w:p>
        </w:tc>
        <w:tc>
          <w:tcPr>
            <w:tcW w:type="dxa" w:w="70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Hedef Endeksli Kapalı İç Senet. Boş konutu havuza alan, sahibe enflasyona endeksli senet veren sistem.</w:t>
            </w:r>
          </w:p>
        </w:tc>
      </w:tr>
      <w:tr>
        <w:trPr>
          <w:tblHeader w:val="false"/>
        </w:trPr>
        <w:tc>
          <w:tcPr>
            <w:tcW w:type="dxa" w:w="26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Havuz</w:t>
            </w:r>
          </w:p>
        </w:tc>
        <w:tc>
          <w:tcPr>
            <w:tcW w:type="dxa" w:w="70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Daireleri toplayan, kiralayan, giderleri ödeyen ve net kirayla senedi geri ödeyen yapı.</w:t>
            </w:r>
          </w:p>
        </w:tc>
      </w:tr>
      <w:tr>
        <w:trPr>
          <w:tblHeader w:val="false"/>
        </w:trPr>
        <w:tc>
          <w:tcPr>
            <w:tcW w:type="dxa" w:w="26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Reel</w:t>
            </w:r>
          </w:p>
        </w:tc>
        <w:tc>
          <w:tcPr>
            <w:tcW w:type="dxa" w:w="70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Enflasyondan arındırılmış. "Reel faiz" faiz eksi enflasyondur.</w:t>
            </w:r>
          </w:p>
        </w:tc>
      </w:tr>
      <w:tr>
        <w:trPr>
          <w:tblHeader w:val="false"/>
        </w:trPr>
        <w:tc>
          <w:tcPr>
            <w:tcW w:type="dxa" w:w="26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Sübvansiyon</w:t>
            </w:r>
          </w:p>
        </w:tc>
        <w:tc>
          <w:tcPr>
            <w:tcW w:type="dxa" w:w="70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Devletin ödediği kira farkı ve abonelik gideri.</w:t>
            </w:r>
          </w:p>
        </w:tc>
      </w:tr>
      <w:tr>
        <w:trPr>
          <w:tblHeader w:val="false"/>
        </w:trPr>
        <w:tc>
          <w:tcPr>
            <w:tcW w:type="dxa" w:w="26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Boş tutma bedeli</w:t>
            </w:r>
          </w:p>
        </w:tc>
        <w:tc>
          <w:tcPr>
            <w:tcW w:type="dxa" w:w="70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Daireyi boş bırakan sahibin ödediği yıllık, değerin yüzdesi cinsinden tutar.</w:t>
            </w:r>
          </w:p>
        </w:tc>
      </w:tr>
      <w:tr>
        <w:trPr>
          <w:tblHeader w:val="false"/>
        </w:trPr>
        <w:tc>
          <w:tcPr>
            <w:tcW w:type="dxa" w:w="26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Etkin tahsilat</w:t>
            </w:r>
          </w:p>
        </w:tc>
        <w:tc>
          <w:tcPr>
            <w:tcW w:type="dxa" w:w="70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İlan edilen bedelin gerçekten toplanan kısmı (tespit × muafiyet dışı pay × ödeme).</w:t>
            </w:r>
          </w:p>
        </w:tc>
      </w:tr>
      <w:tr>
        <w:trPr>
          <w:tblHeader w:val="false"/>
        </w:trPr>
        <w:tc>
          <w:tcPr>
            <w:tcW w:type="dxa" w:w="26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Katılım tavanı</w:t>
            </w:r>
          </w:p>
        </w:tc>
        <w:tc>
          <w:tcPr>
            <w:tcW w:type="dxa" w:w="70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Boş stoğun kullanıma uygun payı; ne kadar para verilirse verilsin aşılamaz.</w:t>
            </w:r>
          </w:p>
        </w:tc>
      </w:tr>
      <w:tr>
        <w:trPr>
          <w:tblHeader w:val="false"/>
        </w:trPr>
        <w:tc>
          <w:tcPr>
            <w:tcW w:type="dxa" w:w="26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Gelir ÷ sübvansiyon</w:t>
            </w:r>
          </w:p>
        </w:tc>
        <w:tc>
          <w:tcPr>
            <w:tcW w:type="dxa" w:w="70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Bedel gelirinin sübvansiyonu ne kadar karşıladığı. 1 ve üstü: kendini finanse eder.</w:t>
            </w:r>
          </w:p>
        </w:tc>
      </w:tr>
      <w:tr>
        <w:trPr>
          <w:tblHeader w:val="false"/>
        </w:trPr>
        <w:tc>
          <w:tcPr>
            <w:tcW w:type="dxa" w:w="26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Başabaş</w:t>
            </w:r>
          </w:p>
        </w:tc>
        <w:tc>
          <w:tcPr>
            <w:tcW w:type="dxa" w:w="70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Gelirin sübvansiyonu tam karşıladığı nokta.</w:t>
            </w:r>
          </w:p>
        </w:tc>
      </w:tr>
      <w:tr>
        <w:trPr>
          <w:tblHeader w:val="false"/>
        </w:trPr>
        <w:tc>
          <w:tcPr>
            <w:tcW w:type="dxa" w:w="26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Gini katsayısı</w:t>
            </w:r>
          </w:p>
        </w:tc>
        <w:tc>
          <w:tcPr>
            <w:tcW w:type="dxa" w:w="70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Gelir eşitsizliği ölçüsü (0 eşit, 1 tam eşitsiz).</w:t>
            </w:r>
          </w:p>
        </w:tc>
      </w:tr>
      <w:tr>
        <w:trPr>
          <w:tblHeader w:val="false"/>
        </w:trPr>
        <w:tc>
          <w:tcPr>
            <w:tcW w:type="dxa" w:w="26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Monte Carlo</w:t>
            </w:r>
          </w:p>
        </w:tc>
        <w:tc>
          <w:tcPr>
            <w:tcW w:type="dxa" w:w="70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Bütün belirsiz girdileri aynı anda rastgele değiştirip sonuçların dağılımına bakmak.</w:t>
            </w:r>
          </w:p>
        </w:tc>
      </w:tr>
      <w:tr>
        <w:trPr>
          <w:tblHeader w:val="false"/>
        </w:trPr>
        <w:tc>
          <w:tcPr>
            <w:tcW w:type="dxa" w:w="26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Tornado</w:t>
            </w:r>
          </w:p>
        </w:tc>
        <w:tc>
          <w:tcPr>
            <w:tcW w:type="dxa" w:w="70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Her girdiyi tek tek uçlara çekip sonucun ne kadar oynadığına bakmak.</w:t>
            </w:r>
          </w:p>
        </w:tc>
      </w:tr>
      <w:tr>
        <w:trPr>
          <w:tblHeader w:val="false"/>
        </w:trPr>
        <w:tc>
          <w:tcPr>
            <w:tcW w:type="dxa" w:w="26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bCs/>
                <w:color w:val="1F2A37"/>
                <w:sz w:val="20"/>
                <w:szCs w:val="20"/>
              </w:rPr>
              <w:t xml:space="preserve">İBBS / TR10</w:t>
            </w:r>
          </w:p>
        </w:tc>
        <w:tc>
          <w:tcPr>
            <w:tcW w:type="dxa" w:w="7038"/>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line="270"/>
              <w:jc w:val="left"/>
            </w:pPr>
            <w:r>
              <w:rPr>
                <w:rFonts w:ascii="Arial" w:cs="Arial" w:eastAsia="Arial" w:hAnsi="Arial"/>
                <w:b w:val="false"/>
                <w:bCs w:val="false"/>
                <w:color w:val="1F2A37"/>
                <w:sz w:val="20"/>
                <w:szCs w:val="20"/>
              </w:rPr>
              <w:t xml:space="preserve">İstatistiki Bölge Birimleri Sınıflandırması. TR10 İstanbul'dur.</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Sayfa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HEKİS Modeli, sistem anlatımı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HEKİS Modeli: Sistem Anlatımı</dc:title>
  <dc:creator>HEKİS modeli</dc:creator>
  <cp:lastModifiedBy>Un-named</cp:lastModifiedBy>
  <cp:revision>1</cp:revision>
  <dcterms:created xsi:type="dcterms:W3CDTF">2026-10-04T22:56:34.111Z</dcterms:created>
  <dcterms:modified xsi:type="dcterms:W3CDTF">2026-10-04T22:56:34.112Z</dcterms:modified>
</cp:coreProperties>
</file>

<file path=docProps/custom.xml><?xml version="1.0" encoding="utf-8"?>
<Properties xmlns="http://schemas.openxmlformats.org/officeDocument/2006/custom-properties" xmlns:vt="http://schemas.openxmlformats.org/officeDocument/2006/docPropsVTypes"/>
</file>