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4"/>
          <w:szCs w:val="44"/>
        </w:rPr>
        <w:t xml:space="preserve">HEKİS: Sistemin Bütünü</w:t>
      </w:r>
    </w:p>
    <w:p>
      <w:pPr>
        <w:spacing w:after="120" w:line="300"/>
      </w:pPr>
      <w:r>
        <w:rPr>
          <w:rFonts w:ascii="Arial" w:cs="Arial" w:eastAsia="Arial" w:hAnsi="Arial"/>
          <w:i/>
          <w:iCs/>
          <w:color w:val="555555"/>
          <w:sz w:val="22"/>
          <w:szCs w:val="22"/>
        </w:rPr>
        <w:t xml:space="preserve">Hedef Endeksli Kapalı İç Senet / İstanbul ve Anadolu için konut havuzu sistemi. Çalışma prensibi.</w:t>
      </w:r>
    </w:p>
    <w:p>
      <w:pPr>
        <w:spacing w:after="120" w:line="300"/>
      </w:pPr>
      <w:r>
        <w:rPr>
          <w:rFonts w:ascii="Arial" w:cs="Arial" w:eastAsia="Arial" w:hAnsi="Arial"/>
          <w:sz w:val="22"/>
          <w:szCs w:val="22"/>
        </w:rPr>
        <w:t xml:space="preserve">Kişisel modelleme çalışması; doğrulanmış bir kamu maliyesi modeli değildir. Veri: Ekim 2026. Modelin ayrıntısı depodaki README ve ilgili not dosyalarındadır. Bu metin parçaları bir araya getirir.</w:t>
      </w:r>
    </w:p>
    <w:p>
      <w:pPr>
        <w:pStyle w:val="Heading1"/>
        <w:spacing w:after="140" w:before="320"/>
      </w:pPr>
      <w:r>
        <w:rPr>
          <w:rFonts w:ascii="Arial" w:cs="Arial" w:eastAsia="Arial" w:hAnsi="Arial"/>
          <w:b/>
          <w:bCs/>
          <w:color w:val="1F3A5F"/>
          <w:sz w:val="30"/>
          <w:szCs w:val="30"/>
        </w:rPr>
        <w:t xml:space="preserve">1. Tek cümlede sistem</w:t>
      </w:r>
    </w:p>
    <w:p>
      <w:pPr>
        <w:spacing w:after="120" w:line="300"/>
      </w:pPr>
      <w:r>
        <w:rPr>
          <w:rFonts w:ascii="Arial" w:cs="Arial" w:eastAsia="Arial" w:hAnsi="Arial"/>
          <w:b/>
          <w:bCs/>
          <w:sz w:val="22"/>
          <w:szCs w:val="22"/>
        </w:rPr>
        <w:t xml:space="preserve">Boş duran konutu elde tutmayı pahalı, sisteme vermeyi ucuz yapar; verilen konutu gelirine göre kira ödeyen düşük gelirli haneye açar; bunun parasını boş tutanlardan toplar.</w:t>
      </w:r>
      <w:r>
        <w:rPr>
          <w:rFonts w:ascii="Arial" w:cs="Arial" w:eastAsia="Arial" w:hAnsi="Arial"/>
          <w:sz w:val="22"/>
          <w:szCs w:val="22"/>
        </w:rPr>
        <w:t xml:space="preserve"> Devlet konut yapmaz, konutu kamulaştırmaz, kimseyi zorla havuza sokmaz. Fiyat işaretini değiştirir ve araya güvenli bir havuz koyar.</w:t>
      </w:r>
    </w:p>
    <w:p>
      <w:pPr>
        <w:pStyle w:val="Heading1"/>
        <w:spacing w:after="140" w:before="320"/>
      </w:pPr>
      <w:r>
        <w:rPr>
          <w:rFonts w:ascii="Arial" w:cs="Arial" w:eastAsia="Arial" w:hAnsi="Arial"/>
          <w:b/>
          <w:bCs/>
          <w:color w:val="1F3A5F"/>
          <w:sz w:val="30"/>
          <w:szCs w:val="30"/>
        </w:rPr>
        <w:t xml:space="preserve">2. Problem: neden böyle bir şey</w:t>
      </w:r>
    </w:p>
    <w:p>
      <w:pPr>
        <w:pStyle w:val="ListParagraph"/>
        <w:numPr>
          <w:ilvl w:val="0"/>
          <w:numId w:val="2"/>
        </w:numPr>
        <w:spacing w:after="80" w:line="290"/>
      </w:pPr>
      <w:r>
        <w:rPr>
          <w:rFonts w:ascii="Arial" w:cs="Arial" w:eastAsia="Arial" w:hAnsi="Arial"/>
          <w:b/>
          <w:bCs/>
          <w:sz w:val="22"/>
          <w:szCs w:val="22"/>
        </w:rPr>
        <w:t xml:space="preserve">Boş stok büyük. </w:t>
      </w:r>
      <w:r>
        <w:rPr>
          <w:rFonts w:ascii="Arial" w:cs="Arial" w:eastAsia="Arial" w:hAnsi="Arial"/>
          <w:sz w:val="22"/>
          <w:szCs w:val="22"/>
        </w:rPr>
        <w:t xml:space="preserve">İstanbul’da yaklaşık 450 bin boş konut var (tahmin aralığı 225-750 bin; yöntem farkı). Tüm konut stoğunun yaklaşık onda biri.</w:t>
      </w:r>
    </w:p>
    <w:p>
      <w:pPr>
        <w:pStyle w:val="ListParagraph"/>
        <w:numPr>
          <w:ilvl w:val="0"/>
          <w:numId w:val="2"/>
        </w:numPr>
        <w:spacing w:after="80" w:line="290"/>
      </w:pPr>
      <w:r>
        <w:rPr>
          <w:rFonts w:ascii="Arial" w:cs="Arial" w:eastAsia="Arial" w:hAnsi="Arial"/>
          <w:b/>
          <w:bCs/>
          <w:sz w:val="22"/>
          <w:szCs w:val="22"/>
        </w:rPr>
        <w:t xml:space="preserve">Boş tutmak ucuz. </w:t>
      </w:r>
      <w:r>
        <w:rPr>
          <w:rFonts w:ascii="Arial" w:cs="Arial" w:eastAsia="Arial" w:hAnsi="Arial"/>
          <w:sz w:val="22"/>
          <w:szCs w:val="22"/>
        </w:rPr>
        <w:t xml:space="preserve">Elde tutma maliyeti değerin yaklaşık %1’i (vergi, aidat, bakım). Konut fiyatı düşerken bile sahip beklemeyi seçiyor, çünkü konut sermaye saklama aracı.</w:t>
      </w:r>
    </w:p>
    <w:p>
      <w:pPr>
        <w:pStyle w:val="ListParagraph"/>
        <w:numPr>
          <w:ilvl w:val="0"/>
          <w:numId w:val="2"/>
        </w:numPr>
        <w:spacing w:after="80" w:line="290"/>
      </w:pPr>
      <w:r>
        <w:rPr>
          <w:rFonts w:ascii="Arial" w:cs="Arial" w:eastAsia="Arial" w:hAnsi="Arial"/>
          <w:b/>
          <w:bCs/>
          <w:sz w:val="22"/>
          <w:szCs w:val="22"/>
        </w:rPr>
        <w:t xml:space="preserve">Kiracı sıkışık. </w:t>
      </w:r>
      <w:r>
        <w:rPr>
          <w:rFonts w:ascii="Arial" w:cs="Arial" w:eastAsia="Arial" w:hAnsi="Arial"/>
          <w:sz w:val="22"/>
          <w:szCs w:val="22"/>
        </w:rPr>
        <w:t xml:space="preserve">Alt gelir dilimlerinde piyasa kirası + abonelik hane gelirinin yarısına yaklaşıyor (alt %10’da %81).</w:t>
      </w:r>
    </w:p>
    <w:p>
      <w:pPr>
        <w:spacing w:after="120" w:line="300"/>
      </w:pPr>
      <w:r>
        <w:rPr>
          <w:rFonts w:ascii="Arial" w:cs="Arial" w:eastAsia="Arial" w:hAnsi="Arial"/>
          <w:sz w:val="22"/>
          <w:szCs w:val="22"/>
        </w:rPr>
        <w:t xml:space="preserve">Sorun arz eksikliği değil, mevcut arzın kullanılmaması. Sistem yeni konut yapmaya değil, mevcut stoğu işler kılmaya kurulu.</w:t>
      </w:r>
    </w:p>
    <w:p>
      <w:pPr>
        <w:pStyle w:val="Heading1"/>
        <w:spacing w:after="140" w:before="320"/>
      </w:pPr>
      <w:r>
        <w:rPr>
          <w:rFonts w:ascii="Arial" w:cs="Arial" w:eastAsia="Arial" w:hAnsi="Arial"/>
          <w:b/>
          <w:bCs/>
          <w:color w:val="1F3A5F"/>
          <w:sz w:val="30"/>
          <w:szCs w:val="30"/>
        </w:rPr>
        <w:t xml:space="preserve">3. Ana akış: beş parça tek zincir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8C4D2" w:sz="4"/>
              <w:left w:val="single" w:color="B8C4D2" w:sz="4"/>
              <w:bottom w:val="single" w:color="B8C4D2" w:sz="4"/>
              <w:right w:val="single" w:color="B8C4D2" w:sz="4"/>
            </w:tcBorders>
            <w:shd w:fill="E3EDF7" w:color="auto" w:val="clear"/>
            <w:tcMar>
              <w:top w:type="dxa" w:w="70"/>
              <w:left w:type="dxa" w:w="100"/>
              <w:bottom w:type="dxa" w:w="70"/>
              <w:right w:type="dxa" w:w="100"/>
            </w:tcMar>
          </w:tcPr>
          <w:p>
            <w:pPr>
              <w:spacing w:after="40"/>
              <w:jc w:val="center"/>
            </w:pPr>
            <w:r>
              <w:rPr>
                <w:rFonts w:ascii="Arial" w:cs="Arial" w:eastAsia="Arial" w:hAnsi="Arial"/>
                <w:b w:val="false"/>
                <w:bCs w:val="false"/>
                <w:sz w:val="19"/>
                <w:szCs w:val="19"/>
              </w:rPr>
              <w:t xml:space="preserve">1. Tespit</w:t>
            </w:r>
          </w:p>
          <w:p>
            <w:pPr>
              <w:spacing w:after="40"/>
              <w:jc w:val="center"/>
            </w:pPr>
            <w:r>
              <w:rPr>
                <w:rFonts w:ascii="Arial" w:cs="Arial" w:eastAsia="Arial" w:hAnsi="Arial"/>
                <w:b w:val="false"/>
                <w:bCs w:val="false"/>
                <w:sz w:val="19"/>
                <w:szCs w:val="19"/>
              </w:rPr>
              <w:t xml:space="preserve">Bos konut elektrik tuketimiyle bulunur</w:t>
            </w:r>
          </w:p>
        </w:tc>
        <w:tc>
          <w:tcPr>
            <w:tcW w:type="dxa" w:w="1800"/>
            <w:tcBorders>
              <w:top w:val="single" w:color="B8C4D2" w:sz="4"/>
              <w:left w:val="single" w:color="B8C4D2" w:sz="4"/>
              <w:bottom w:val="single" w:color="B8C4D2" w:sz="4"/>
              <w:right w:val="single" w:color="B8C4D2" w:sz="4"/>
            </w:tcBorders>
            <w:shd w:fill="E3EDF7" w:color="auto" w:val="clear"/>
            <w:tcMar>
              <w:top w:type="dxa" w:w="70"/>
              <w:left w:type="dxa" w:w="100"/>
              <w:bottom w:type="dxa" w:w="70"/>
              <w:right w:type="dxa" w:w="100"/>
            </w:tcMar>
          </w:tcPr>
          <w:p>
            <w:pPr>
              <w:spacing w:after="40"/>
              <w:jc w:val="center"/>
            </w:pPr>
            <w:r>
              <w:rPr>
                <w:rFonts w:ascii="Arial" w:cs="Arial" w:eastAsia="Arial" w:hAnsi="Arial"/>
                <w:b w:val="false"/>
                <w:bCs w:val="false"/>
                <w:sz w:val="19"/>
                <w:szCs w:val="19"/>
              </w:rPr>
              <w:t xml:space="preserve">2. Bedel</w:t>
            </w:r>
          </w:p>
          <w:p>
            <w:pPr>
              <w:spacing w:after="40"/>
              <w:jc w:val="center"/>
            </w:pPr>
            <w:r>
              <w:rPr>
                <w:rFonts w:ascii="Arial" w:cs="Arial" w:eastAsia="Arial" w:hAnsi="Arial"/>
                <w:b w:val="false"/>
                <w:bCs w:val="false"/>
                <w:sz w:val="19"/>
                <w:szCs w:val="19"/>
              </w:rPr>
              <w:t xml:space="preserve">Bos tutmak yillik bedel getirir</w:t>
            </w:r>
          </w:p>
        </w:tc>
        <w:tc>
          <w:tcPr>
            <w:tcW w:type="dxa" w:w="1800"/>
            <w:tcBorders>
              <w:top w:val="single" w:color="B8C4D2" w:sz="4"/>
              <w:left w:val="single" w:color="B8C4D2" w:sz="4"/>
              <w:bottom w:val="single" w:color="B8C4D2" w:sz="4"/>
              <w:right w:val="single" w:color="B8C4D2" w:sz="4"/>
            </w:tcBorders>
            <w:shd w:fill="D5E6D4" w:color="auto" w:val="clear"/>
            <w:tcMar>
              <w:top w:type="dxa" w:w="70"/>
              <w:left w:type="dxa" w:w="100"/>
              <w:bottom w:type="dxa" w:w="70"/>
              <w:right w:type="dxa" w:w="100"/>
            </w:tcMar>
          </w:tcPr>
          <w:p>
            <w:pPr>
              <w:spacing w:after="40"/>
              <w:jc w:val="center"/>
            </w:pPr>
            <w:r>
              <w:rPr>
                <w:rFonts w:ascii="Arial" w:cs="Arial" w:eastAsia="Arial" w:hAnsi="Arial"/>
                <w:b w:val="false"/>
                <w:bCs w:val="false"/>
                <w:sz w:val="19"/>
                <w:szCs w:val="19"/>
              </w:rPr>
              <w:t xml:space="preserve">3. Teklif</w:t>
            </w:r>
          </w:p>
          <w:p>
            <w:pPr>
              <w:spacing w:after="40"/>
              <w:jc w:val="center"/>
            </w:pPr>
            <w:r>
              <w:rPr>
                <w:rFonts w:ascii="Arial" w:cs="Arial" w:eastAsia="Arial" w:hAnsi="Arial"/>
                <w:b w:val="false"/>
                <w:bCs w:val="false"/>
                <w:sz w:val="19"/>
                <w:szCs w:val="19"/>
              </w:rPr>
              <w:t xml:space="preserve">Havuz sahibe kira esasli teklif sunar</w:t>
            </w:r>
          </w:p>
        </w:tc>
        <w:tc>
          <w:tcPr>
            <w:tcW w:type="dxa" w:w="1800"/>
            <w:tcBorders>
              <w:top w:val="single" w:color="B8C4D2" w:sz="4"/>
              <w:left w:val="single" w:color="B8C4D2" w:sz="4"/>
              <w:bottom w:val="single" w:color="B8C4D2" w:sz="4"/>
              <w:right w:val="single" w:color="B8C4D2" w:sz="4"/>
            </w:tcBorders>
            <w:shd w:fill="D5E6D4" w:color="auto" w:val="clear"/>
            <w:tcMar>
              <w:top w:type="dxa" w:w="70"/>
              <w:left w:type="dxa" w:w="100"/>
              <w:bottom w:type="dxa" w:w="70"/>
              <w:right w:type="dxa" w:w="100"/>
            </w:tcMar>
          </w:tcPr>
          <w:p>
            <w:pPr>
              <w:spacing w:after="40"/>
              <w:jc w:val="center"/>
            </w:pPr>
            <w:r>
              <w:rPr>
                <w:rFonts w:ascii="Arial" w:cs="Arial" w:eastAsia="Arial" w:hAnsi="Arial"/>
                <w:b w:val="false"/>
                <w:bCs w:val="false"/>
                <w:sz w:val="19"/>
                <w:szCs w:val="19"/>
              </w:rPr>
              <w:t xml:space="preserve">4. Yerlesme</w:t>
            </w:r>
          </w:p>
          <w:p>
            <w:pPr>
              <w:spacing w:after="40"/>
              <w:jc w:val="center"/>
            </w:pPr>
            <w:r>
              <w:rPr>
                <w:rFonts w:ascii="Arial" w:cs="Arial" w:eastAsia="Arial" w:hAnsi="Arial"/>
                <w:b w:val="false"/>
                <w:bCs w:val="false"/>
                <w:sz w:val="19"/>
                <w:szCs w:val="19"/>
              </w:rPr>
              <w:t xml:space="preserve">Dusuk gelirli hane dereceli kirayla oturur</w:t>
            </w:r>
          </w:p>
        </w:tc>
        <w:tc>
          <w:tcPr>
            <w:tcW w:type="dxa" w:w="1800"/>
            <w:tcBorders>
              <w:top w:val="single" w:color="B8C4D2" w:sz="4"/>
              <w:left w:val="single" w:color="B8C4D2" w:sz="4"/>
              <w:bottom w:val="single" w:color="B8C4D2" w:sz="4"/>
              <w:right w:val="single" w:color="B8C4D2" w:sz="4"/>
            </w:tcBorders>
            <w:shd w:fill="F6E7C9" w:color="auto" w:val="clear"/>
            <w:tcMar>
              <w:top w:type="dxa" w:w="70"/>
              <w:left w:type="dxa" w:w="100"/>
              <w:bottom w:type="dxa" w:w="70"/>
              <w:right w:type="dxa" w:w="100"/>
            </w:tcMar>
          </w:tcPr>
          <w:p>
            <w:pPr>
              <w:spacing w:after="40"/>
              <w:jc w:val="center"/>
            </w:pPr>
            <w:r>
              <w:rPr>
                <w:rFonts w:ascii="Arial" w:cs="Arial" w:eastAsia="Arial" w:hAnsi="Arial"/>
                <w:b w:val="false"/>
                <w:bCs w:val="false"/>
                <w:sz w:val="19"/>
                <w:szCs w:val="19"/>
              </w:rPr>
              <w:t xml:space="preserve">5. Para</w:t>
            </w:r>
          </w:p>
          <w:p>
            <w:pPr>
              <w:spacing w:after="40"/>
              <w:jc w:val="center"/>
            </w:pPr>
            <w:r>
              <w:rPr>
                <w:rFonts w:ascii="Arial" w:cs="Arial" w:eastAsia="Arial" w:hAnsi="Arial"/>
                <w:b w:val="false"/>
                <w:bCs w:val="false"/>
                <w:sz w:val="19"/>
                <w:szCs w:val="19"/>
              </w:rPr>
              <w:t xml:space="preserve">Bedel, subvansiyonu oder; fazla tadilata gider</w:t>
            </w:r>
          </w:p>
        </w:tc>
      </w:tr>
    </w:tbl>
    <w:p>
      <w:pPr>
        <w:spacing w:after="80"/>
      </w:pPr>
    </w:p>
    <w:p>
      <w:pPr>
        <w:pStyle w:val="ListParagraph"/>
        <w:numPr>
          <w:ilvl w:val="0"/>
          <w:numId w:val="3"/>
        </w:numPr>
        <w:spacing w:after="90" w:line="290"/>
      </w:pPr>
      <w:r>
        <w:rPr>
          <w:rFonts w:ascii="Arial" w:cs="Arial" w:eastAsia="Arial" w:hAnsi="Arial"/>
          <w:b/>
          <w:bCs/>
          <w:sz w:val="22"/>
          <w:szCs w:val="22"/>
        </w:rPr>
        <w:t xml:space="preserve">Tespit. </w:t>
      </w:r>
      <w:r>
        <w:rPr>
          <w:rFonts w:ascii="Arial" w:cs="Arial" w:eastAsia="Arial" w:hAnsi="Arial"/>
          <w:sz w:val="22"/>
          <w:szCs w:val="22"/>
        </w:rPr>
        <w:t xml:space="preserve">Boş konut beyanla değil, elektrik abonelik tüketimi ve adres kaydıyla bulunur. Birincil konut (malikin oturduğu tek konut) muaf.</w:t>
      </w:r>
    </w:p>
    <w:p>
      <w:pPr>
        <w:pStyle w:val="ListParagraph"/>
        <w:numPr>
          <w:ilvl w:val="0"/>
          <w:numId w:val="3"/>
        </w:numPr>
        <w:spacing w:after="90" w:line="290"/>
      </w:pPr>
      <w:r>
        <w:rPr>
          <w:rFonts w:ascii="Arial" w:cs="Arial" w:eastAsia="Arial" w:hAnsi="Arial"/>
          <w:b/>
          <w:bCs/>
          <w:sz w:val="22"/>
          <w:szCs w:val="22"/>
        </w:rPr>
        <w:t xml:space="preserve">Bedel. </w:t>
      </w:r>
      <w:r>
        <w:rPr>
          <w:rFonts w:ascii="Arial" w:cs="Arial" w:eastAsia="Arial" w:hAnsi="Arial"/>
          <w:sz w:val="22"/>
          <w:szCs w:val="22"/>
        </w:rPr>
        <w:t xml:space="preserve">Boş konut her yıl beyan değerinin belirli oranı kadar bedel öder. Genel bedel %1; lüks bantta %5. Bedel bir ceza değil, boş tutmanın maliyetini sahibe yükleyen fiyat işaretidir.</w:t>
      </w:r>
    </w:p>
    <w:p>
      <w:pPr>
        <w:pStyle w:val="ListParagraph"/>
        <w:numPr>
          <w:ilvl w:val="0"/>
          <w:numId w:val="3"/>
        </w:numPr>
        <w:spacing w:after="90" w:line="290"/>
      </w:pPr>
      <w:r>
        <w:rPr>
          <w:rFonts w:ascii="Arial" w:cs="Arial" w:eastAsia="Arial" w:hAnsi="Arial"/>
          <w:b/>
          <w:bCs/>
          <w:sz w:val="22"/>
          <w:szCs w:val="22"/>
        </w:rPr>
        <w:t xml:space="preserve">Havuz teklifi. </w:t>
      </w:r>
      <w:r>
        <w:rPr>
          <w:rFonts w:ascii="Arial" w:cs="Arial" w:eastAsia="Arial" w:hAnsi="Arial"/>
          <w:sz w:val="22"/>
          <w:szCs w:val="22"/>
        </w:rPr>
        <w:t xml:space="preserve">Sahibe iki yol açık: (a) bedeli ödeyerek boş tutmaya devam etmek, (b) konutu havuza vererek piyasa kirasının en az %80’i kadar kira esaslı bir teklif almak. Reddetmek serbest, ret bedeli durdurmaz. Sahibin kararı beklenen fiyat artışına bağlı: bugün İstanbul’da reel fiyat düşüyor, bu yüzden havuza verme çekici.</w:t>
      </w:r>
    </w:p>
    <w:p>
      <w:pPr>
        <w:pStyle w:val="ListParagraph"/>
        <w:numPr>
          <w:ilvl w:val="0"/>
          <w:numId w:val="3"/>
        </w:numPr>
        <w:spacing w:after="90" w:line="290"/>
      </w:pPr>
      <w:r>
        <w:rPr>
          <w:rFonts w:ascii="Arial" w:cs="Arial" w:eastAsia="Arial" w:hAnsi="Arial"/>
          <w:b/>
          <w:bCs/>
          <w:sz w:val="22"/>
          <w:szCs w:val="22"/>
        </w:rPr>
        <w:t xml:space="preserve">Yerleşme (dereceli kira). </w:t>
      </w:r>
      <w:r>
        <w:rPr>
          <w:rFonts w:ascii="Arial" w:cs="Arial" w:eastAsia="Arial" w:hAnsi="Arial"/>
          <w:sz w:val="22"/>
          <w:szCs w:val="22"/>
        </w:rPr>
        <w:t xml:space="preserve">Havuzdaki konuta geliri düz memur maaşının (bugün 55.000 TL) altında kalan haneler yerleşir; İstanbul’da bu, hanelerin alt %41’i. Oturan, piyasa kirası ile gelirinin %30’undan küçük olanı öder. Abonelik giderleri (elektrik, gaz, su) ve aidat havuzca karşılanır. Aradaki fark subvansiyon.</w:t>
      </w:r>
    </w:p>
    <w:p>
      <w:pPr>
        <w:pStyle w:val="ListParagraph"/>
        <w:numPr>
          <w:ilvl w:val="0"/>
          <w:numId w:val="3"/>
        </w:numPr>
        <w:spacing w:after="90" w:line="290"/>
      </w:pPr>
      <w:r>
        <w:rPr>
          <w:rFonts w:ascii="Arial" w:cs="Arial" w:eastAsia="Arial" w:hAnsi="Arial"/>
          <w:b/>
          <w:bCs/>
          <w:sz w:val="22"/>
          <w:szCs w:val="22"/>
        </w:rPr>
        <w:t xml:space="preserve">Para döngüsü. </w:t>
      </w:r>
      <w:r>
        <w:rPr>
          <w:rFonts w:ascii="Arial" w:cs="Arial" w:eastAsia="Arial" w:hAnsi="Arial"/>
          <w:sz w:val="22"/>
          <w:szCs w:val="22"/>
        </w:rPr>
        <w:t xml:space="preserve">Bedel geliri önce subvansiyonu öder. Fazla kalırsa katılım primi olarak değil, tavanı artıran işlere (tadilat, duran inşaat tamamlama) gider. Sistem vergi toplamaz, para basmaz; kendini finanse etmezse büyümez.</w:t>
      </w:r>
    </w:p>
    <w:p>
      <w:pPr>
        <w:pStyle w:val="Heading1"/>
        <w:spacing w:after="140" w:before="320"/>
      </w:pPr>
      <w:r>
        <w:rPr>
          <w:rFonts w:ascii="Arial" w:cs="Arial" w:eastAsia="Arial" w:hAnsi="Arial"/>
          <w:b/>
          <w:bCs/>
          <w:color w:val="1F3A5F"/>
          <w:sz w:val="30"/>
          <w:szCs w:val="30"/>
        </w:rPr>
        <w:t xml:space="preserve">4. Üç bölge: neden herkese aynı bedel değil</w:t>
      </w:r>
    </w:p>
    <w:p>
      <w:pPr>
        <w:spacing w:after="120" w:line="300"/>
      </w:pPr>
      <w:r>
        <w:rPr>
          <w:rFonts w:ascii="Arial" w:cs="Arial" w:eastAsia="Arial" w:hAnsi="Arial"/>
          <w:sz w:val="22"/>
          <w:szCs w:val="22"/>
        </w:rPr>
        <w:t xml:space="preserve">Boş konutlar değer sırasına göre üç banda ayrılır. Her bandın muhatabı, tepkisi ve yeri farklıdır.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300"/>
      </w:tblGrid>
      <w:tr>
        <w:trPr>
          <w:tblHeader/>
        </w:trPr>
        <w:tc>
          <w:tcPr>
            <w:tcW w:type="dxa" w:w="18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Bölge</w:t>
            </w:r>
          </w:p>
        </w:tc>
        <w:tc>
          <w:tcPr>
            <w:tcW w:type="dxa" w:w="19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Boş konut (İstanbul)</w:t>
            </w:r>
          </w:p>
        </w:tc>
        <w:tc>
          <w:tcPr>
            <w:tcW w:type="dxa" w:w="53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Ne olur</w:t>
            </w:r>
          </w:p>
        </w:tc>
      </w:tr>
      <w:tr>
        <w:tc>
          <w:tcPr>
            <w:tcW w:type="dxa" w:w="18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HEKİS bandı (alt %41)</w:t>
            </w:r>
          </w:p>
        </w:tc>
        <w:tc>
          <w:tcPr>
            <w:tcW w:type="dxa" w:w="19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≈183 bin</w:t>
            </w:r>
          </w:p>
        </w:tc>
        <w:tc>
          <w:tcPr>
            <w:tcW w:type="dxa" w:w="53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Havuza girebilir; katılım tavanı %25. Havuza girmeyen genel bedel öder.</w:t>
            </w:r>
          </w:p>
        </w:tc>
      </w:tr>
      <w:tr>
        <w:tc>
          <w:tcPr>
            <w:tcW w:type="dxa" w:w="18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Tampon (memur kesimi, %41-80)</w:t>
            </w:r>
          </w:p>
        </w:tc>
        <w:tc>
          <w:tcPr>
            <w:tcW w:type="dxa" w:w="19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≈177 bin</w:t>
            </w:r>
          </w:p>
        </w:tc>
        <w:tc>
          <w:tcPr>
            <w:tcW w:type="dxa" w:w="53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Havuza girmez, normal piyasa sistemi. Genel bedel %1 öder, bu da bir kısmını boşluktan çıkarır.</w:t>
            </w:r>
          </w:p>
        </w:tc>
      </w:tr>
      <w:tr>
        <w:tc>
          <w:tcPr>
            <w:tcW w:type="dxa" w:w="18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Lüks (üst %20)</w:t>
            </w:r>
          </w:p>
        </w:tc>
        <w:tc>
          <w:tcPr>
            <w:tcW w:type="dxa" w:w="19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≈90 bin</w:t>
            </w:r>
          </w:p>
        </w:tc>
        <w:tc>
          <w:tcPr>
            <w:tcW w:type="dxa" w:w="53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Havuza girmez. %5 bedel; sahibin tepkisi satış, kiralama ya da oturma (Vancouver ankoru). Bedel geliri buradan gelir.</w:t>
            </w:r>
          </w:p>
        </w:tc>
      </w:tr>
    </w:tbl>
    <w:p>
      <w:pPr>
        <w:spacing w:after="80"/>
      </w:pPr>
    </w:p>
    <w:p>
      <w:pPr>
        <w:spacing w:after="120" w:line="300"/>
      </w:pPr>
      <w:r>
        <w:rPr>
          <w:rFonts w:ascii="Arial" w:cs="Arial" w:eastAsia="Arial" w:hAnsi="Arial"/>
          <w:b/>
          <w:bCs/>
          <w:sz w:val="22"/>
          <w:szCs w:val="22"/>
        </w:rPr>
        <w:t xml:space="preserve">Neden ayrım: </w:t>
      </w:r>
      <w:r>
        <w:rPr>
          <w:rFonts w:ascii="Arial" w:cs="Arial" w:eastAsia="Arial" w:hAnsi="Arial"/>
          <w:sz w:val="22"/>
          <w:szCs w:val="22"/>
        </w:rPr>
        <w:t xml:space="preserve">düşük gelirli kiracının oturacağı konut ucuz konuttur; lüks konutun havuza girmesi amaç değil. Ama lüks boş konut sahibi en çok bedel ödeyebilen ve boşluğu en çok sürdürebilen kesim. Onlardan bedel alıp bunu ucuz konuttaki kiracının desteğine çevirmek sistemin finansman mantığı. Memur kesimi tampon: ne yardım alır ne yüksek bedel öder.</w:t>
      </w:r>
    </w:p>
    <w:p>
      <w:pPr>
        <w:pStyle w:val="Heading1"/>
        <w:spacing w:after="140" w:before="320"/>
      </w:pPr>
      <w:r>
        <w:rPr>
          <w:rFonts w:ascii="Arial" w:cs="Arial" w:eastAsia="Arial" w:hAnsi="Arial"/>
          <w:b/>
          <w:bCs/>
          <w:color w:val="1F3A5F"/>
          <w:sz w:val="30"/>
          <w:szCs w:val="30"/>
        </w:rPr>
        <w:t xml:space="preserve">5. Para kim, nereden, nereye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Taraf</w:t>
            </w:r>
          </w:p>
        </w:tc>
        <w:tc>
          <w:tcPr>
            <w:tcW w:type="dxa" w:w="64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Rolü ve rakam (en olası senaryo, tam ölçek)</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Boş konut sahibi</w:t>
            </w:r>
          </w:p>
        </w:tc>
        <w:tc>
          <w:tcPr>
            <w:tcW w:type="dxa" w:w="64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Bedel öder (havuz sınıfı birim yılda ≈7 bin TL, lüks birim ≈190 bin TL, etkin tahsilatla). Ya da havuza verip kira esaslı senet alır.</w:t>
            </w:r>
          </w:p>
        </w:tc>
      </w:tr>
      <w:tr>
        <w:tc>
          <w:tcPr>
            <w:tcW w:type="dxa" w:w="26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Havuz</w:t>
            </w:r>
          </w:p>
        </w:tc>
        <w:tc>
          <w:tcPr>
            <w:tcW w:type="dxa" w:w="64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Sahipten konut alır (kira esaslı), oturana kiralar. Aidat ve abonelik havuzdan. Yılda ≈3,9 mr TL subvansiyon.</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Oturan hane</w:t>
            </w:r>
          </w:p>
        </w:tc>
        <w:tc>
          <w:tcPr>
            <w:tcW w:type="dxa" w:w="64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Gelirinin %30’unu kira öder. Yerleşen hane yılda ortalama 106 bin TL fayda alır (ayda ≈8,8 bin).</w:t>
            </w:r>
          </w:p>
        </w:tc>
      </w:tr>
      <w:tr>
        <w:tc>
          <w:tcPr>
            <w:tcW w:type="dxa" w:w="26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Devlet / kamu</w:t>
            </w:r>
          </w:p>
        </w:tc>
        <w:tc>
          <w:tcPr>
            <w:tcW w:type="dxa" w:w="64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Vergi veya para basımı yok. Net kamu fazlası yılda 5 mr TL civarı (erozyonsuz: bedel 9,4 mr, sübvansiyon 3,9 mr).</w:t>
            </w:r>
          </w:p>
        </w:tc>
      </w:tr>
    </w:tbl>
    <w:p>
      <w:pPr>
        <w:spacing w:after="80"/>
      </w:pPr>
    </w:p>
    <w:p>
      <w:pPr>
        <w:pStyle w:val="Heading1"/>
        <w:spacing w:after="140" w:before="320"/>
      </w:pPr>
      <w:r>
        <w:rPr>
          <w:rFonts w:ascii="Arial" w:cs="Arial" w:eastAsia="Arial" w:hAnsi="Arial"/>
          <w:b/>
          <w:bCs/>
          <w:color w:val="1F3A5F"/>
          <w:sz w:val="30"/>
          <w:szCs w:val="30"/>
        </w:rPr>
        <w:t xml:space="preserve">6. Senet: parçanın rolü</w:t>
      </w:r>
    </w:p>
    <w:p>
      <w:pPr>
        <w:spacing w:after="120" w:line="300"/>
      </w:pPr>
      <w:r>
        <w:rPr>
          <w:rFonts w:ascii="Arial" w:cs="Arial" w:eastAsia="Arial" w:hAnsi="Arial"/>
          <w:sz w:val="22"/>
          <w:szCs w:val="22"/>
        </w:rPr>
        <w:t xml:space="preserve">Senet, sahibin havuza verdiği konutun karşılığında aldığı belgedir: kâğıt üzerinde havuzun sahibe alacağı. Özellikleri:</w:t>
      </w:r>
    </w:p>
    <w:p>
      <w:pPr>
        <w:pStyle w:val="ListParagraph"/>
        <w:numPr>
          <w:ilvl w:val="0"/>
          <w:numId w:val="2"/>
        </w:numPr>
        <w:spacing w:after="80" w:line="290"/>
      </w:pPr>
      <w:r>
        <w:rPr>
          <w:rFonts w:ascii="Arial" w:cs="Arial" w:eastAsia="Arial" w:hAnsi="Arial"/>
          <w:sz w:val="22"/>
          <w:szCs w:val="22"/>
        </w:rPr>
        <w:t xml:space="preserve">Anapara TÜFE ile yürür (enflasyona karşı korur). Reel kupon yok.</w:t>
      </w:r>
    </w:p>
    <w:p>
      <w:pPr>
        <w:pStyle w:val="ListParagraph"/>
        <w:numPr>
          <w:ilvl w:val="0"/>
          <w:numId w:val="2"/>
        </w:numPr>
        <w:spacing w:after="80" w:line="290"/>
      </w:pPr>
      <w:r>
        <w:rPr>
          <w:rFonts w:ascii="Arial" w:cs="Arial" w:eastAsia="Arial" w:hAnsi="Arial"/>
          <w:sz w:val="22"/>
          <w:szCs w:val="22"/>
        </w:rPr>
        <w:t xml:space="preserve">Hedef primi: yalnızca fiziki endeks hedefi aşılırsa doğar ve tavanlıdır. 1/7’si sahibe, 6/7’si üretim devresine.</w:t>
      </w:r>
    </w:p>
    <w:p>
      <w:pPr>
        <w:pStyle w:val="ListParagraph"/>
        <w:numPr>
          <w:ilvl w:val="0"/>
          <w:numId w:val="2"/>
        </w:numPr>
        <w:spacing w:after="80" w:line="290"/>
      </w:pPr>
      <w:r>
        <w:rPr>
          <w:rFonts w:ascii="Arial" w:cs="Arial" w:eastAsia="Arial" w:hAnsi="Arial"/>
          <w:sz w:val="22"/>
          <w:szCs w:val="22"/>
        </w:rPr>
        <w:t xml:space="preserve">Yalnızca yurt içi, yalnızca sistem içinde itfa. Döviz, altın, fon, arsa ya da yeni konutla itfa edilemez.</w:t>
      </w:r>
    </w:p>
    <w:p>
      <w:pPr>
        <w:spacing w:after="120" w:line="300"/>
      </w:pPr>
      <w:r>
        <w:rPr>
          <w:rFonts w:ascii="Arial" w:cs="Arial" w:eastAsia="Arial" w:hAnsi="Arial"/>
          <w:b/>
          <w:bCs/>
          <w:sz w:val="22"/>
          <w:szCs w:val="22"/>
        </w:rPr>
        <w:t xml:space="preserve">Dürüst not: </w:t>
      </w:r>
      <w:r>
        <w:rPr>
          <w:rFonts w:ascii="Arial" w:cs="Arial" w:eastAsia="Arial" w:hAnsi="Arial"/>
          <w:sz w:val="22"/>
          <w:szCs w:val="22"/>
        </w:rPr>
        <w:t xml:space="preserve">senet getirisi mevduatla yarışamaz (tavanda %1,4 reel, mevduat bugün +%4,2). Katılım senedin cazibesinden değil, bedel baskısı ve sahibin fiyat beklentisinden gelir. Senet, bir yatırım ürünü değil, hesap birimi ve koruma aracı.</w:t>
      </w:r>
    </w:p>
    <w:p>
      <w:pPr>
        <w:pStyle w:val="Heading1"/>
        <w:spacing w:after="140" w:before="320"/>
      </w:pPr>
      <w:r>
        <w:rPr>
          <w:rFonts w:ascii="Arial" w:cs="Arial" w:eastAsia="Arial" w:hAnsi="Arial"/>
          <w:b/>
          <w:bCs/>
          <w:color w:val="1F3A5F"/>
          <w:sz w:val="30"/>
          <w:szCs w:val="30"/>
        </w:rPr>
        <w:t xml:space="preserve">7. Duran inşaat</w:t>
      </w:r>
    </w:p>
    <w:p>
      <w:pPr>
        <w:spacing w:after="120" w:line="300"/>
      </w:pPr>
      <w:r>
        <w:rPr>
          <w:rFonts w:ascii="Arial" w:cs="Arial" w:eastAsia="Arial" w:hAnsi="Arial"/>
          <w:sz w:val="22"/>
          <w:szCs w:val="22"/>
        </w:rPr>
        <w:t xml:space="preserve">Yarım kalmış, iskânsız ya da kaba inşaatta bekleyen yapılar (baz 30 bin birim; kaynak yok, varsayım) ayrı bir kanaldır. Yapı güvenliği ve ruhsat tespitinden sonra tamamlanır, tamamlama bedeli kiradan geri ödenir, mülkiyet sahibinde kalır. Yaklaşık 6 bin birim HEKİS bandına girer. Kentsel dönüşüm ve tadilat ayrı sistem sayıldığı için kapsam dışı.</w:t>
      </w:r>
    </w:p>
    <w:p>
      <w:pPr>
        <w:pStyle w:val="Heading1"/>
        <w:spacing w:after="140" w:before="320"/>
      </w:pPr>
      <w:r>
        <w:rPr>
          <w:rFonts w:ascii="Arial" w:cs="Arial" w:eastAsia="Arial" w:hAnsi="Arial"/>
          <w:b/>
          <w:bCs/>
          <w:color w:val="1F3A5F"/>
          <w:sz w:val="30"/>
          <w:szCs w:val="30"/>
        </w:rPr>
        <w:t xml:space="preserve">8. Kademeli geçiş: neden her yere aynı anda değil</w:t>
      </w:r>
    </w:p>
    <w:p>
      <w:pPr>
        <w:spacing w:after="120" w:line="300"/>
      </w:pPr>
      <w:r>
        <w:rPr>
          <w:rFonts w:ascii="Arial" w:cs="Arial" w:eastAsia="Arial" w:hAnsi="Arial"/>
          <w:sz w:val="22"/>
          <w:szCs w:val="22"/>
        </w:rPr>
        <w:t xml:space="preserve">Sistemin finansmanı lüks bedelin gerçekten tahsil edilmesine dayanıyor ve bu tahsilat hiçbir yerde ölçülmedi. Bu yüzden yürürlük kademeli, kapılı:</w:t>
      </w:r>
    </w:p>
    <w:p>
      <w:pPr>
        <w:pStyle w:val="ListParagraph"/>
        <w:numPr>
          <w:ilvl w:val="0"/>
          <w:numId w:val="2"/>
        </w:numPr>
        <w:spacing w:after="80" w:line="290"/>
      </w:pPr>
      <w:r>
        <w:rPr>
          <w:rFonts w:ascii="Arial" w:cs="Arial" w:eastAsia="Arial" w:hAnsi="Arial"/>
          <w:b/>
          <w:bCs/>
          <w:sz w:val="22"/>
          <w:szCs w:val="22"/>
        </w:rPr>
        <w:t xml:space="preserve">Pilot: </w:t>
      </w:r>
      <w:r>
        <w:rPr>
          <w:rFonts w:ascii="Arial" w:cs="Arial" w:eastAsia="Arial" w:hAnsi="Arial"/>
          <w:sz w:val="22"/>
          <w:szCs w:val="22"/>
        </w:rPr>
        <w:t xml:space="preserve">birkaç mahallede toplam yaklaşık 3.800 boş birim (lüks tahsilatını ±4,6 puan ölçebilecek en küçük büyüklük).</w:t>
      </w:r>
    </w:p>
    <w:p>
      <w:pPr>
        <w:pStyle w:val="ListParagraph"/>
        <w:numPr>
          <w:ilvl w:val="0"/>
          <w:numId w:val="2"/>
        </w:numPr>
        <w:spacing w:after="80" w:line="290"/>
      </w:pPr>
      <w:r>
        <w:rPr>
          <w:rFonts w:ascii="Arial" w:cs="Arial" w:eastAsia="Arial" w:hAnsi="Arial"/>
          <w:b/>
          <w:bCs/>
          <w:sz w:val="22"/>
          <w:szCs w:val="22"/>
        </w:rPr>
        <w:t xml:space="preserve">Her yıl sonu kapı: </w:t>
      </w:r>
      <w:r>
        <w:rPr>
          <w:rFonts w:ascii="Arial" w:cs="Arial" w:eastAsia="Arial" w:hAnsi="Arial"/>
          <w:sz w:val="22"/>
          <w:szCs w:val="22"/>
        </w:rPr>
        <w:t xml:space="preserve">katılım en az %15; genel bedel tahsilatı ≥%20 ve lüks tahsilat buna bağlı (genel %30 ise lüks ≥%18); kiracı tahsilatı ≥%80; ölçülen hane geliri varsayımın ≥%85’i; bedel/sübvansiyon ≥1,25.</w:t>
      </w:r>
    </w:p>
    <w:p>
      <w:pPr>
        <w:pStyle w:val="ListParagraph"/>
        <w:numPr>
          <w:ilvl w:val="0"/>
          <w:numId w:val="2"/>
        </w:numPr>
        <w:spacing w:after="80" w:line="290"/>
      </w:pPr>
      <w:r>
        <w:rPr>
          <w:rFonts w:ascii="Arial" w:cs="Arial" w:eastAsia="Arial" w:hAnsi="Arial"/>
          <w:b/>
          <w:bCs/>
          <w:sz w:val="22"/>
          <w:szCs w:val="22"/>
        </w:rPr>
        <w:t xml:space="preserve">Kapı tutarsa </w:t>
      </w:r>
      <w:r>
        <w:rPr>
          <w:rFonts w:ascii="Arial" w:cs="Arial" w:eastAsia="Arial" w:hAnsi="Arial"/>
          <w:sz w:val="22"/>
          <w:szCs w:val="22"/>
        </w:rPr>
        <w:t xml:space="preserve">ertesi yıl kapsam en fazla 2,5 kat büyür. Tutmazsa genişleme durur, yeni yerleştirme durur, yerleşmiş haneler korunur.</w:t>
      </w:r>
    </w:p>
    <w:p>
      <w:pPr>
        <w:spacing w:after="120" w:line="300"/>
      </w:pPr>
      <w:r>
        <w:rPr>
          <w:rFonts w:ascii="Arial" w:cs="Arial" w:eastAsia="Arial" w:hAnsi="Arial"/>
          <w:b/>
          <w:bCs/>
          <w:sz w:val="22"/>
          <w:szCs w:val="22"/>
        </w:rPr>
        <w:t xml:space="preserve">Sonuç: </w:t>
      </w:r>
      <w:r>
        <w:rPr>
          <w:rFonts w:ascii="Arial" w:cs="Arial" w:eastAsia="Arial" w:hAnsi="Arial"/>
          <w:sz w:val="22"/>
          <w:szCs w:val="22"/>
        </w:rPr>
        <w:t xml:space="preserve">kusursuz ölçümle tam İstanbul’a 7. yılda ulaşılır. Belirsiz değerlerle (200 rastgele çekim) sonuç iki kutuplu: yaklaşık %37’sinde kapı hiç geçilmez (katılım %15’in altında kalır), yaklaşık %50’sinde 7. yılda tam ölçeğe ulaşılır. Kademeli yol, kötü bir hukuki sürprizde kaybı büyük ölçüde küçültür: bedelin iptali 3. yılda gelirse yük yaklaşık 4 mr TL (20 yıl), tam ölçekte gelseydi yaklaşık 84 mr TL.</w:t>
      </w:r>
    </w:p>
    <w:p>
      <w:pPr>
        <w:pStyle w:val="Heading1"/>
        <w:spacing w:after="140" w:before="320"/>
      </w:pPr>
      <w:r>
        <w:rPr>
          <w:rFonts w:ascii="Arial" w:cs="Arial" w:eastAsia="Arial" w:hAnsi="Arial"/>
          <w:b/>
          <w:bCs/>
          <w:color w:val="1F3A5F"/>
          <w:sz w:val="30"/>
          <w:szCs w:val="30"/>
        </w:rPr>
        <w:t xml:space="preserve">9. Sistem neye bağlı: iki ayak, bir dış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Bağımlılık</w:t>
            </w:r>
          </w:p>
        </w:tc>
        <w:tc>
          <w:tcPr>
            <w:tcW w:type="dxa" w:w="64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Anlamı</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Lüks bedel tahsilatı</w:t>
            </w:r>
          </w:p>
        </w:tc>
        <w:tc>
          <w:tcPr>
            <w:tcW w:type="dxa" w:w="64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Gelirin büyük kısmı buradan. Kritik eşik: en olası değerin yaklaşık %17’si (%7); altına inerse bedel/sübvansiyon 1’in altına düşer. Hukuki iptal riski de burada yoğun: yalnız lüks bedelin iptali tüm bedelin iptali kadar zararlı. Bu yüzden lüks bedel ayrı madde.</w:t>
            </w:r>
          </w:p>
        </w:tc>
      </w:tr>
      <w:tr>
        <w:tc>
          <w:tcPr>
            <w:tcW w:type="dxa" w:w="26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Katılım (sahibin kararı)</w:t>
            </w:r>
          </w:p>
        </w:tc>
        <w:tc>
          <w:tcPr>
            <w:tcW w:type="dxa" w:w="64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Beklenen reel konut artışına bağlı. Bugünkü ortam (reel fiyat düşüyor, reel faiz +%4) uygun; artış yaklaşık 4 puan yükselirse katılım çöker ve program yüzlerce haneye iner.</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Reel faiz (dış risk)</w:t>
            </w:r>
          </w:p>
        </w:tc>
        <w:tc>
          <w:tcPr>
            <w:tcW w:type="dxa" w:w="64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Reel faiz sıfıra yaklaşırsa mevduat cazibesi azalır, konut yeniden değer saklama aracı olur ve katılım düşer.</w:t>
            </w:r>
          </w:p>
        </w:tc>
      </w:tr>
    </w:tbl>
    <w:p>
      <w:pPr>
        <w:spacing w:after="80"/>
      </w:pPr>
    </w:p>
    <w:p>
      <w:pPr>
        <w:pStyle w:val="Heading1"/>
        <w:spacing w:after="140" w:before="320"/>
      </w:pPr>
      <w:r>
        <w:rPr>
          <w:rFonts w:ascii="Arial" w:cs="Arial" w:eastAsia="Arial" w:hAnsi="Arial"/>
          <w:b/>
          <w:bCs/>
          <w:color w:val="1F3A5F"/>
          <w:sz w:val="30"/>
          <w:szCs w:val="30"/>
        </w:rPr>
        <w:t xml:space="preserve">10. Ne yapar, ne yapmaz</w:t>
      </w:r>
    </w:p>
    <w:p>
      <w:pPr>
        <w:pStyle w:val="Heading2"/>
        <w:spacing w:after="100" w:before="220"/>
      </w:pPr>
      <w:r>
        <w:rPr>
          <w:rFonts w:ascii="Arial" w:cs="Arial" w:eastAsia="Arial" w:hAnsi="Arial"/>
          <w:b/>
          <w:bCs/>
          <w:color w:val="2F5D8A"/>
          <w:sz w:val="25"/>
          <w:szCs w:val="25"/>
        </w:rPr>
        <w:t xml:space="preserve">Yapar</w:t>
      </w:r>
    </w:p>
    <w:p>
      <w:pPr>
        <w:pStyle w:val="ListParagraph"/>
        <w:numPr>
          <w:ilvl w:val="0"/>
          <w:numId w:val="2"/>
        </w:numPr>
        <w:spacing w:after="80" w:line="290"/>
      </w:pPr>
      <w:r>
        <w:rPr>
          <w:rFonts w:ascii="Arial" w:cs="Arial" w:eastAsia="Arial" w:hAnsi="Arial"/>
          <w:sz w:val="22"/>
          <w:szCs w:val="22"/>
        </w:rPr>
        <w:t xml:space="preserve">Tam ölçekte yaklaşık 37 bin hane (+ yaklaşık 6 bin duran inşaat) yerleştirir; alt gelir hanelerinin konut yükü gelirin %30’una iner.</w:t>
      </w:r>
    </w:p>
    <w:p>
      <w:pPr>
        <w:pStyle w:val="ListParagraph"/>
        <w:numPr>
          <w:ilvl w:val="0"/>
          <w:numId w:val="2"/>
        </w:numPr>
        <w:spacing w:after="80" w:line="290"/>
      </w:pPr>
      <w:r>
        <w:rPr>
          <w:rFonts w:ascii="Arial" w:cs="Arial" w:eastAsia="Arial" w:hAnsi="Arial"/>
          <w:sz w:val="22"/>
          <w:szCs w:val="22"/>
        </w:rPr>
        <w:t xml:space="preserve">Kendini finanse eder (bedel/sübvansiyon 1,8-2,4); 10 yılda kümülatif net yaklaşık +17 mr TL (İstanbul).</w:t>
      </w:r>
    </w:p>
    <w:p>
      <w:pPr>
        <w:pStyle w:val="ListParagraph"/>
        <w:numPr>
          <w:ilvl w:val="0"/>
          <w:numId w:val="2"/>
        </w:numPr>
        <w:spacing w:after="80" w:line="290"/>
      </w:pPr>
      <w:r>
        <w:rPr>
          <w:rFonts w:ascii="Arial" w:cs="Arial" w:eastAsia="Arial" w:hAnsi="Arial"/>
          <w:sz w:val="22"/>
          <w:szCs w:val="22"/>
        </w:rPr>
        <w:t xml:space="preserve">Yaklaşık 107 bin boş daireyi bedel baskısıyla piyasaya geri döndürür.</w:t>
      </w:r>
    </w:p>
    <w:p>
      <w:pPr>
        <w:pStyle w:val="ListParagraph"/>
        <w:numPr>
          <w:ilvl w:val="0"/>
          <w:numId w:val="2"/>
        </w:numPr>
        <w:spacing w:after="80" w:line="290"/>
      </w:pPr>
      <w:r>
        <w:rPr>
          <w:rFonts w:ascii="Arial" w:cs="Arial" w:eastAsia="Arial" w:hAnsi="Arial"/>
          <w:sz w:val="22"/>
          <w:szCs w:val="22"/>
        </w:rPr>
        <w:t xml:space="preserve">Şok karşısında finansal olarak ayakta kalır: kapı büyümeyi durdurur, zarar sınırlı kalır.</w:t>
      </w:r>
    </w:p>
    <w:p>
      <w:pPr>
        <w:pStyle w:val="Heading2"/>
        <w:spacing w:after="100" w:before="220"/>
      </w:pPr>
      <w:r>
        <w:rPr>
          <w:rFonts w:ascii="Arial" w:cs="Arial" w:eastAsia="Arial" w:hAnsi="Arial"/>
          <w:b/>
          <w:bCs/>
          <w:color w:val="2F5D8A"/>
          <w:sz w:val="25"/>
          <w:szCs w:val="25"/>
        </w:rPr>
        <w:t xml:space="preserve">Yapmaz</w:t>
      </w:r>
    </w:p>
    <w:p>
      <w:pPr>
        <w:pStyle w:val="ListParagraph"/>
        <w:numPr>
          <w:ilvl w:val="0"/>
          <w:numId w:val="2"/>
        </w:numPr>
        <w:spacing w:after="80" w:line="290"/>
      </w:pPr>
      <w:r>
        <w:rPr>
          <w:rFonts w:ascii="Arial" w:cs="Arial" w:eastAsia="Arial" w:hAnsi="Arial"/>
          <w:b/>
          <w:bCs/>
          <w:sz w:val="22"/>
          <w:szCs w:val="22"/>
        </w:rPr>
        <w:t xml:space="preserve">Genel yaşam maliyetini belirgin değiştirmez: </w:t>
      </w:r>
      <w:r>
        <w:rPr>
          <w:rFonts w:ascii="Arial" w:cs="Arial" w:eastAsia="Arial" w:hAnsi="Arial"/>
          <w:sz w:val="22"/>
          <w:szCs w:val="22"/>
        </w:rPr>
        <w:t xml:space="preserve">tam ölçekte İstanbul kirası yaklaşık −%4,5 (esneklik 0,6; doğrulanmadı), yerel TÜFE −0,3 puan, ulusal TÜFE yaklaşık −0,05 puan. Tek seferlik düzey etkisi.</w:t>
      </w:r>
    </w:p>
    <w:p>
      <w:pPr>
        <w:pStyle w:val="ListParagraph"/>
        <w:numPr>
          <w:ilvl w:val="0"/>
          <w:numId w:val="2"/>
        </w:numPr>
        <w:spacing w:after="80" w:line="290"/>
      </w:pPr>
      <w:r>
        <w:rPr>
          <w:rFonts w:ascii="Arial" w:cs="Arial" w:eastAsia="Arial" w:hAnsi="Arial"/>
          <w:b/>
          <w:bCs/>
          <w:sz w:val="22"/>
          <w:szCs w:val="22"/>
        </w:rPr>
        <w:t xml:space="preserve">Eşitsizliği ölçülür şekilde azaltmaz: </w:t>
      </w:r>
      <w:r>
        <w:rPr>
          <w:rFonts w:ascii="Arial" w:cs="Arial" w:eastAsia="Arial" w:hAnsi="Arial"/>
          <w:sz w:val="22"/>
          <w:szCs w:val="22"/>
        </w:rPr>
        <w:t xml:space="preserve">kapsam uygun kiracıların yalnızca %6,6’sı. Gini −0,0007, göreli yoksulluk −0,16 puan.</w:t>
      </w:r>
    </w:p>
    <w:p>
      <w:pPr>
        <w:pStyle w:val="ListParagraph"/>
        <w:numPr>
          <w:ilvl w:val="0"/>
          <w:numId w:val="2"/>
        </w:numPr>
        <w:spacing w:after="80" w:line="290"/>
      </w:pPr>
      <w:r>
        <w:rPr>
          <w:rFonts w:ascii="Arial" w:cs="Arial" w:eastAsia="Arial" w:hAnsi="Arial"/>
          <w:b/>
          <w:bCs/>
          <w:sz w:val="22"/>
          <w:szCs w:val="22"/>
        </w:rPr>
        <w:t xml:space="preserve">Dolarizasyonu önlemez: </w:t>
      </w:r>
      <w:r>
        <w:rPr>
          <w:rFonts w:ascii="Arial" w:cs="Arial" w:eastAsia="Arial" w:hAnsi="Arial"/>
          <w:sz w:val="22"/>
          <w:szCs w:val="22"/>
        </w:rPr>
        <w:t xml:space="preserve">senet toplam mevduatın %0,3’ü, döviz mevduatını etkilemez. Boşaltılan konutun nakdi dövize kayabilir.</w:t>
      </w:r>
    </w:p>
    <w:p>
      <w:pPr>
        <w:pStyle w:val="ListParagraph"/>
        <w:numPr>
          <w:ilvl w:val="0"/>
          <w:numId w:val="2"/>
        </w:numPr>
        <w:spacing w:after="80" w:line="290"/>
      </w:pPr>
      <w:r>
        <w:rPr>
          <w:rFonts w:ascii="Arial" w:cs="Arial" w:eastAsia="Arial" w:hAnsi="Arial"/>
          <w:b/>
          <w:bCs/>
          <w:sz w:val="22"/>
          <w:szCs w:val="22"/>
        </w:rPr>
        <w:t xml:space="preserve">Sermayeyi büyük ölçüde üretime çevirmez: </w:t>
      </w:r>
      <w:r>
        <w:rPr>
          <w:rFonts w:ascii="Arial" w:cs="Arial" w:eastAsia="Arial" w:hAnsi="Arial"/>
          <w:sz w:val="22"/>
          <w:szCs w:val="22"/>
        </w:rPr>
        <w:t xml:space="preserve">5 yılda toplamın yaklaşık %12-22’si (duran inşaat, donatım siparişi, prim devresi). Kâr eden iç talebe bağlı sektörlere (mobilya, beyaz eşya, ev tekstili, gıda) bağlanması tasarlandı; ölçek küçük.</w:t>
      </w:r>
    </w:p>
    <w:p>
      <w:pPr>
        <w:pStyle w:val="ListParagraph"/>
        <w:numPr>
          <w:ilvl w:val="0"/>
          <w:numId w:val="2"/>
        </w:numPr>
        <w:spacing w:after="80" w:line="290"/>
      </w:pPr>
      <w:r>
        <w:rPr>
          <w:rFonts w:ascii="Arial" w:cs="Arial" w:eastAsia="Arial" w:hAnsi="Arial"/>
          <w:b/>
          <w:bCs/>
          <w:sz w:val="22"/>
          <w:szCs w:val="22"/>
        </w:rPr>
        <w:t xml:space="preserve">Kura adaletsizliği: </w:t>
      </w:r>
      <w:r>
        <w:rPr>
          <w:rFonts w:ascii="Arial" w:cs="Arial" w:eastAsia="Arial" w:hAnsi="Arial"/>
          <w:sz w:val="22"/>
          <w:szCs w:val="22"/>
        </w:rPr>
        <w:t xml:space="preserve">aynı gelir diliminde yerleşen ve yerleşemeyen hane arasında fark oluşur.</w:t>
      </w:r>
    </w:p>
    <w:p>
      <w:pPr>
        <w:pStyle w:val="Heading1"/>
        <w:spacing w:after="140" w:before="320"/>
      </w:pPr>
      <w:r>
        <w:rPr>
          <w:rFonts w:ascii="Arial" w:cs="Arial" w:eastAsia="Arial" w:hAnsi="Arial"/>
          <w:b/>
          <w:bCs/>
          <w:color w:val="1F3A5F"/>
          <w:sz w:val="30"/>
          <w:szCs w:val="30"/>
        </w:rPr>
        <w:t xml:space="preserve">11. İki ayrı sistem: İstanbul ve Anadolu</w:t>
      </w:r>
    </w:p>
    <w:p>
      <w:pPr>
        <w:spacing w:after="120" w:line="300"/>
      </w:pPr>
      <w:r>
        <w:rPr>
          <w:rFonts w:ascii="Arial" w:cs="Arial" w:eastAsia="Arial" w:hAnsi="Arial"/>
          <w:sz w:val="22"/>
          <w:szCs w:val="22"/>
        </w:rPr>
        <w:t xml:space="preserve">Aynı işlev, ayrı veri ve tarife. İstanbul %1 genel / %5 lüks bedel; Anadolu’nun yedi büyükşehri (Ankara, İzmir, Bursa, Antalya, Konya, Adana, Kocaeli) %0,5 / %3. Kademe kapıları ayrı çalışır.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
            </w:r>
          </w:p>
        </w:tc>
        <w:tc>
          <w:tcPr>
            <w:tcW w:type="dxa" w:w="32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İstanbul</w:t>
            </w:r>
          </w:p>
        </w:tc>
        <w:tc>
          <w:tcPr>
            <w:tcW w:type="dxa" w:w="3200"/>
            <w:tcBorders>
              <w:top w:val="single" w:color="B8C4D2" w:sz="4"/>
              <w:left w:val="single" w:color="B8C4D2" w:sz="4"/>
              <w:bottom w:val="single" w:color="B8C4D2" w:sz="4"/>
              <w:right w:val="single" w:color="B8C4D2" w:sz="4"/>
            </w:tcBorders>
            <w:shd w:fill="1F3A5F" w:color="auto" w:val="clear"/>
            <w:tcMar>
              <w:top w:type="dxa" w:w="70"/>
              <w:left w:type="dxa" w:w="100"/>
              <w:bottom w:type="dxa" w:w="70"/>
              <w:right w:type="dxa" w:w="100"/>
            </w:tcMar>
          </w:tcPr>
          <w:p>
            <w:pPr>
              <w:spacing w:after="40"/>
              <w:jc w:val="left"/>
            </w:pPr>
            <w:r>
              <w:rPr>
                <w:rFonts w:ascii="Arial" w:cs="Arial" w:eastAsia="Arial" w:hAnsi="Arial"/>
                <w:b/>
                <w:bCs/>
                <w:color w:val="FFFFFF"/>
                <w:sz w:val="20"/>
                <w:szCs w:val="20"/>
              </w:rPr>
              <w:t xml:space="preserve">Anadolu (7 şehir)</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Boş stok</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450 bin</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664 bin</w:t>
            </w:r>
          </w:p>
        </w:tc>
      </w:tr>
      <w:tr>
        <w:tc>
          <w:tcPr>
            <w:tcW w:type="dxa" w:w="26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Tam ölçekte yerleşen</w:t>
            </w:r>
          </w:p>
        </w:tc>
        <w:tc>
          <w:tcPr>
            <w:tcW w:type="dxa" w:w="32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≈37 bin</w:t>
            </w:r>
          </w:p>
        </w:tc>
        <w:tc>
          <w:tcPr>
            <w:tcW w:type="dxa" w:w="32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≈67 bin</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Hane başına fayda</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106 bin TL/yıl</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47,5 bin TL/yıl</w:t>
            </w:r>
          </w:p>
        </w:tc>
      </w:tr>
      <w:tr>
        <w:tc>
          <w:tcPr>
            <w:tcW w:type="dxa" w:w="26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Kapsam (uygun kiracı)</w:t>
            </w:r>
          </w:p>
        </w:tc>
        <w:tc>
          <w:tcPr>
            <w:tcW w:type="dxa" w:w="32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%6,6</w:t>
            </w:r>
          </w:p>
        </w:tc>
        <w:tc>
          <w:tcPr>
            <w:tcW w:type="dxa" w:w="3200"/>
            <w:tcBorders>
              <w:top w:val="single" w:color="B8C4D2" w:sz="4"/>
              <w:left w:val="single" w:color="B8C4D2" w:sz="4"/>
              <w:bottom w:val="single" w:color="B8C4D2" w:sz="4"/>
              <w:right w:val="single" w:color="B8C4D2" w:sz="4"/>
            </w:tcBorders>
            <w:shd w:fill="F3F6FA" w:color="auto" w:val="clear"/>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%6,5</w:t>
            </w:r>
          </w:p>
        </w:tc>
      </w:tr>
      <w:tr>
        <w:tc>
          <w:tcPr>
            <w:tcW w:type="dxa" w:w="26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bCs/>
                <w:sz w:val="20"/>
                <w:szCs w:val="20"/>
              </w:rPr>
              <w:t xml:space="preserve">Şokta dayanıklılık</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Daha yüksek (marj geniş)</w:t>
            </w:r>
          </w:p>
        </w:tc>
        <w:tc>
          <w:tcPr>
            <w:tcW w:type="dxa" w:w="3200"/>
            <w:tcBorders>
              <w:top w:val="single" w:color="B8C4D2" w:sz="4"/>
              <w:left w:val="single" w:color="B8C4D2" w:sz="4"/>
              <w:bottom w:val="single" w:color="B8C4D2" w:sz="4"/>
              <w:right w:val="single" w:color="B8C4D2"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Daha kırılgan (marj ince)</w:t>
            </w:r>
          </w:p>
        </w:tc>
      </w:tr>
    </w:tbl>
    <w:p>
      <w:pPr>
        <w:spacing w:after="80"/>
      </w:pPr>
    </w:p>
    <w:p>
      <w:pPr>
        <w:spacing w:after="120" w:line="300"/>
      </w:pPr>
      <w:r>
        <w:rPr>
          <w:rFonts w:ascii="Arial" w:cs="Arial" w:eastAsia="Arial" w:hAnsi="Arial"/>
          <w:sz w:val="22"/>
          <w:szCs w:val="22"/>
        </w:rPr>
        <w:t xml:space="preserve">İki sistemi ayırmak yerel şoklara (gelir, yerel fiyat) karşı korur; ulusal şoklarda (hukuki iptal, kur) ikisi birlikte düşer. Fiyat rallisinde iki sistem de çöker; bu ortak zayıflık.</w:t>
      </w:r>
    </w:p>
    <w:p>
      <w:pPr>
        <w:pStyle w:val="Heading1"/>
        <w:spacing w:after="140" w:before="320"/>
      </w:pPr>
      <w:r>
        <w:rPr>
          <w:rFonts w:ascii="Arial" w:cs="Arial" w:eastAsia="Arial" w:hAnsi="Arial"/>
          <w:b/>
          <w:bCs/>
          <w:color w:val="1F3A5F"/>
          <w:sz w:val="30"/>
          <w:szCs w:val="30"/>
        </w:rPr>
        <w:t xml:space="preserve">12. TOKİ’den farkı</w:t>
      </w:r>
    </w:p>
    <w:p>
      <w:pPr>
        <w:spacing w:after="120" w:line="300"/>
      </w:pPr>
      <w:r>
        <w:rPr>
          <w:rFonts w:ascii="Arial" w:cs="Arial" w:eastAsia="Arial" w:hAnsi="Arial"/>
          <w:sz w:val="22"/>
          <w:szCs w:val="22"/>
        </w:rPr>
        <w:t xml:space="preserve">TOKİ yeni konut yapar, satar ve devlet bütçesiyle çalışır. HEKİS yeni konut yapmaz, mevcut boş stoğu kiralık olarak işler kılar, bedel geliriyle kendini finanse eder. İş bölümü: TOKİ yeni üretim ve kentsel dönüşüm, HEKİS mevcut stok ve duran inşaat. Ayrıntı TOKI_HEKIS_IS_BOLUMU.md dosyasında.</w:t>
      </w:r>
    </w:p>
    <w:p>
      <w:pPr>
        <w:pStyle w:val="Heading1"/>
        <w:spacing w:after="140" w:before="320"/>
      </w:pPr>
      <w:r>
        <w:rPr>
          <w:rFonts w:ascii="Arial" w:cs="Arial" w:eastAsia="Arial" w:hAnsi="Arial"/>
          <w:b/>
          <w:bCs/>
          <w:color w:val="1F3A5F"/>
          <w:sz w:val="30"/>
          <w:szCs w:val="30"/>
        </w:rPr>
        <w:t xml:space="preserve">13. Neyi bilmiyoruz</w:t>
      </w:r>
    </w:p>
    <w:p>
      <w:pPr>
        <w:pStyle w:val="ListParagraph"/>
        <w:numPr>
          <w:ilvl w:val="0"/>
          <w:numId w:val="2"/>
        </w:numPr>
        <w:spacing w:after="80" w:line="290"/>
      </w:pPr>
      <w:r>
        <w:rPr>
          <w:rFonts w:ascii="Arial" w:cs="Arial" w:eastAsia="Arial" w:hAnsi="Arial"/>
          <w:sz w:val="22"/>
          <w:szCs w:val="22"/>
        </w:rPr>
        <w:t xml:space="preserve">Lüks bedelin gerçek tahsilatı (modelde %40; İrlanda’da işaretlenenin yaklaşık %6’sı bedele tabi kaldı). Yalnız pilot ölçer.</w:t>
      </w:r>
    </w:p>
    <w:p>
      <w:pPr>
        <w:pStyle w:val="ListParagraph"/>
        <w:numPr>
          <w:ilvl w:val="0"/>
          <w:numId w:val="2"/>
        </w:numPr>
        <w:spacing w:after="80" w:line="290"/>
      </w:pPr>
      <w:r>
        <w:rPr>
          <w:rFonts w:ascii="Arial" w:cs="Arial" w:eastAsia="Arial" w:hAnsi="Arial"/>
          <w:sz w:val="22"/>
          <w:szCs w:val="22"/>
        </w:rPr>
        <w:t xml:space="preserve">Boş stok (225-750 bin), duran inşaat sayısı (30 bin, kaynaksız), ölçek erozyonu (%25, varsayım), kira esnekliği (literatür tahmini).</w:t>
      </w:r>
    </w:p>
    <w:p>
      <w:pPr>
        <w:pStyle w:val="ListParagraph"/>
        <w:numPr>
          <w:ilvl w:val="0"/>
          <w:numId w:val="2"/>
        </w:numPr>
        <w:spacing w:after="80" w:line="290"/>
      </w:pPr>
      <w:r>
        <w:rPr>
          <w:rFonts w:ascii="Arial" w:cs="Arial" w:eastAsia="Arial" w:hAnsi="Arial"/>
          <w:sz w:val="22"/>
          <w:szCs w:val="22"/>
        </w:rPr>
        <w:t xml:space="preserve">Senedin açık noktaları: fiziki endeks tanımı, ödenmeyen anapara garantisi, banka kanalı, kira geri ödemesinin üretime yönlendirilmesi.</w:t>
      </w:r>
    </w:p>
    <w:p>
      <w:pPr>
        <w:pStyle w:val="ListParagraph"/>
        <w:numPr>
          <w:ilvl w:val="0"/>
          <w:numId w:val="2"/>
        </w:numPr>
        <w:spacing w:after="80" w:line="290"/>
      </w:pPr>
      <w:r>
        <w:rPr>
          <w:rFonts w:ascii="Arial" w:cs="Arial" w:eastAsia="Arial" w:hAnsi="Arial"/>
          <w:sz w:val="22"/>
          <w:szCs w:val="22"/>
        </w:rPr>
        <w:t xml:space="preserve">Mekânsal yoğunlaşma (Esenyurt tipi stokta) ve hukuki sınav (Anayasa md. 35 ve 73).</w:t>
      </w:r>
    </w:p>
    <w:p>
      <w:pPr>
        <w:spacing w:after="120" w:line="300"/>
      </w:pPr>
      <w:r>
        <w:rPr>
          <w:rFonts w:ascii="Arial" w:cs="Arial" w:eastAsia="Arial" w:hAnsi="Arial"/>
          <w:b/>
          <w:bCs/>
          <w:sz w:val="22"/>
          <w:szCs w:val="22"/>
        </w:rPr>
        <w:t xml:space="preserve">Okuma: </w:t>
      </w:r>
      <w:r>
        <w:rPr>
          <w:rFonts w:ascii="Arial" w:cs="Arial" w:eastAsia="Arial" w:hAnsi="Arial"/>
          <w:sz w:val="22"/>
          <w:szCs w:val="22"/>
        </w:rPr>
        <w:t xml:space="preserve">model, mantığın iç tutarlılığını gösteriyor; gerçekte çalışıp çalışmadığını ancak ilk pilotun verisi söyler. Küçük ama sağlam bir kamu fazlası sistemi: yoksulluğu çözmez, boş stoğu işler kılar.</w:t>
      </w:r>
    </w:p>
    <w:sectPr>
      <w:footerReference w:type="default" r:id="rId7"/>
      <w:pgSz w:w="11906" w:h="16838" w:orient="portrait"/>
      <w:pgMar w:top="1300" w:right="1453" w:bottom="1300" w:left="14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HEKİS: sistemin bütünü  |  sayfa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2026-10-05T11:36:58.140Z</dcterms:created>
  <dcterms:modified xsi:type="dcterms:W3CDTF">2026-10-05T11:36:58.155Z</dcterms:modified>
</cp:coreProperties>
</file>

<file path=docProps/custom.xml><?xml version="1.0" encoding="utf-8"?>
<Properties xmlns="http://schemas.openxmlformats.org/officeDocument/2006/custom-properties" xmlns:vt="http://schemas.openxmlformats.org/officeDocument/2006/docPropsVTypes"/>
</file>