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Zarar Teorisi Stok-Akış Modeli</w:t>
        <w:br/>
      </w:r>
      <w:r>
        <w:rPr>
          <w:sz w:val="24"/>
        </w:rPr>
        <w:t>Bulgular, çözüm yöntemi, mekanizma ve sınırlar</w:t>
        <w:br/>
        <w:t>(Minsky rejimi — kur, borç, yaşam maliyeti odaklı okuma)</w:t>
        <w:br/>
        <w:br/>
      </w:r>
      <w:r>
        <w:rPr>
          <w:i/>
          <w:sz w:val="20"/>
        </w:rPr>
        <w:t>Depo yayın metni — 2026-10-12</w:t>
        <w:br/>
      </w:r>
    </w:p>
    <w:p>
      <w:r>
        <w:t>Bu belge politika reçetesi değildir. Ölçüm, varsayım ve senaryo ayrımı korunur. Sayılar EVDS/BDDK köprüsü (7 Ekim 2026 çekimi) ve senaryo koşusuna bağlıdır; yenilemek için OKU.txt çalıştırma sırasına bakın.</w:t>
      </w:r>
    </w:p>
    <w:p>
      <w:pPr>
        <w:pStyle w:val="Heading1"/>
      </w:pPr>
      <w:r>
        <w:t>Özet</w:t>
      </w:r>
    </w:p>
    <w:p>
      <w:r>
        <w:t>Türkiye finansal hesapları (TCMB EVDS) üzerine kurulu kapalı muhasebe iskeleti: NFP_t = NFP_{t−1} + NL_t (işlem) + R_t (değerleme). Ana muhasebe okuması: değerleme kayıpları (özellikle F) banka provizyonuna otomatik yansımaz; yük gecikmeli tanınır ve birikebilir. Temerrüt sıfır toplamlı transfer değildir (bireysel iflas borcu silmez varsayımı — doğrulanmadı). Minsky moment için takvim üretilmez; yalnızca kur + borç stoku + yaşam maliyeti kanallarıyla roll-over riski ve kopuş koşulları tartışılır.</w:t>
      </w:r>
    </w:p>
    <w:p>
      <w:pPr>
        <w:pStyle w:val="Heading1"/>
      </w:pPr>
      <w:r>
        <w:t>1. Çözüm yöntemi (analitik çerçeve)</w:t>
      </w:r>
    </w:p>
    <w:p>
      <w:pPr>
        <w:pStyle w:val="Heading2"/>
      </w:pPr>
      <w:r>
        <w:t>1.1 Stok-akış tutarlılık</w:t>
      </w:r>
    </w:p>
    <w:p>
      <w:r>
        <w:t>Her hazne için stok değişimi işlem ve değerleme ile kapanır (2021’den beri işlem akışlarında panel kapanışı raporlanır). Çözüm, bilanço kimliğini sağlamak ve şokları NL/R üzerinden haznelere yazmaktır; davranışsal optimum veya genel denge çözücüsü değildir.</w:t>
      </w:r>
    </w:p>
    <w:p>
      <w:pPr>
        <w:pStyle w:val="Heading2"/>
      </w:pPr>
      <w:r>
        <w:t>1.2 Veri sınıfları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Sınıf</w:t>
            </w:r>
          </w:p>
        </w:tc>
        <w:tc>
          <w:tcPr>
            <w:tcW w:type="dxa" w:w="2880"/>
          </w:tcPr>
          <w:p>
            <w:r>
              <w:t>Anlam</w:t>
            </w:r>
          </w:p>
        </w:tc>
        <w:tc>
          <w:tcPr>
            <w:tcW w:type="dxa" w:w="2880"/>
          </w:tcPr>
          <w:p>
            <w:r>
              <w:t>Örnek</w:t>
            </w:r>
          </w:p>
        </w:tc>
      </w:tr>
      <w:tr>
        <w:tc>
          <w:tcPr>
            <w:tcW w:type="dxa" w:w="2880"/>
          </w:tcPr>
          <w:p>
            <w:r>
              <w:t>Ölçüm</w:t>
            </w:r>
          </w:p>
        </w:tc>
        <w:tc>
          <w:tcPr>
            <w:tcW w:type="dxa" w:w="2880"/>
          </w:tcPr>
          <w:p>
            <w:r>
              <w:t>EVDS/BDDK/TÜİK serisi</w:t>
            </w:r>
          </w:p>
        </w:tc>
        <w:tc>
          <w:tcPr>
            <w:tcW w:type="dxa" w:w="2880"/>
          </w:tcPr>
          <w:p>
            <w:r>
              <w:t>Brüt dış borç USD, 13 ay stok büyümesi, TÜFE</w:t>
            </w:r>
          </w:p>
        </w:tc>
      </w:tr>
      <w:tr>
        <w:tc>
          <w:tcPr>
            <w:tcW w:type="dxa" w:w="2880"/>
          </w:tcPr>
          <w:p>
            <w:r>
              <w:t>Varsayım</w:t>
            </w:r>
          </w:p>
        </w:tc>
        <w:tc>
          <w:tcPr>
            <w:tcW w:type="dxa" w:w="2880"/>
          </w:tcPr>
          <w:p>
            <w:r>
              <w:t>Modele elle konmuş pay/eşik</w:t>
            </w:r>
          </w:p>
        </w:tc>
        <w:tc>
          <w:tcPr>
            <w:tcW w:type="dxa" w:w="2880"/>
          </w:tcPr>
          <w:p>
            <w:r>
              <w:t>Ha borç payı D_A_BASE=%40, L dağıtımı</w:t>
            </w:r>
          </w:p>
        </w:tc>
      </w:tr>
      <w:tr>
        <w:tc>
          <w:tcPr>
            <w:tcW w:type="dxa" w:w="2880"/>
          </w:tcPr>
          <w:p>
            <w:r>
              <w:t>Senaryo</w:t>
            </w:r>
          </w:p>
        </w:tc>
        <w:tc>
          <w:tcPr>
            <w:tcW w:type="dxa" w:w="2880"/>
          </w:tcPr>
          <w:p>
            <w:r>
              <w:t>Karşı-olgu yolu</w:t>
            </w:r>
          </w:p>
        </w:tc>
        <w:tc>
          <w:tcPr>
            <w:tcW w:type="dxa" w:w="2880"/>
          </w:tcPr>
          <w:p>
            <w:r>
              <w:t>uc_kural_kilitli, maliyet_ucuz_revize</w:t>
            </w:r>
          </w:p>
        </w:tc>
      </w:tr>
      <w:tr>
        <w:tc>
          <w:tcPr>
            <w:tcW w:type="dxa" w:w="2880"/>
          </w:tcPr>
          <w:p>
            <w:r>
              <w:t>Doğrulanmadı</w:t>
            </w:r>
          </w:p>
        </w:tc>
        <w:tc>
          <w:tcPr>
            <w:tcW w:type="dxa" w:w="2880"/>
          </w:tcPr>
          <w:p>
            <w:r>
              <w:t>Iddia açık</w:t>
            </w:r>
          </w:p>
        </w:tc>
        <w:tc>
          <w:tcPr>
            <w:tcW w:type="dxa" w:w="2880"/>
          </w:tcPr>
          <w:p>
            <w:r>
              <w:t>Bireysel iflas, altın/SDR uyumsuzluk nedeni</w:t>
            </w:r>
          </w:p>
        </w:tc>
      </w:tr>
    </w:tbl>
    <w:p/>
    <w:p>
      <w:pPr>
        <w:pStyle w:val="Heading2"/>
      </w:pPr>
      <w:r>
        <w:t>1.3 Güvenilir yorum kanalları (kısıt)</w:t>
      </w:r>
    </w:p>
    <w:p>
      <w:r>
        <w:t>Bu yayında ağır basan üç kanal: (1) kur — USD/TRY ve brüt dış borç ayrıştırması, D değerleme; (2) borç kalemleri — hane/firma/kamu/dış stok ve büyüme hızları; (3) yaşam maliyeti — enflasyon, taban/sepet, taksit/gelir (tanımlı nesneler). TGA, VYS net etkisi, lambda, desil dağılımı sonuç satırı gibi okunmaz.</w:t>
      </w:r>
    </w:p>
    <w:p>
      <w:pPr>
        <w:pStyle w:val="Heading2"/>
      </w:pPr>
      <w:r>
        <w:t>1.4 Test ve kalibrasyon</w:t>
      </w:r>
    </w:p>
    <w:p>
      <w:r>
        <w:t>Geriye dönük Lm testi: orantılı Lm R² ≈ 0.868; basit varlık payı ≈ 0.862 — matris ek bilgi eklemez. Lambda (F değerleme → provizyon): GSYH normalize regresyon anlamsız/negatif; geçiş üst sınır ~%1,4 (kalibre_lambda_ozeti.json). F→K ~%24 bulgusu geri çekildi (ortak trend).</w:t>
      </w:r>
    </w:p>
    <w:p>
      <w:pPr>
        <w:pStyle w:val="Heading1"/>
      </w:pPr>
      <w:r>
        <w:t>2. Mekanizma</w:t>
      </w:r>
    </w:p>
    <w:p>
      <w:pPr>
        <w:pStyle w:val="Heading2"/>
      </w:pPr>
      <w:r>
        <w:t>2.1 Hazneler ve akışlar</w:t>
      </w:r>
    </w:p>
    <w:p>
      <w:r>
        <w:t>H (hane S.14+15), F (firmalar), B′ (bankalar − TCMB), K′ (Kamu+TCMB), D (dış), U (uyumsuzluk). Bütçe kanalı K′ için merkezi yönetim vergi/faiz/harcama yazar; mükellef–hazne ayrımı varsayımdır.</w:t>
      </w:r>
    </w:p>
    <w:p>
      <w:pPr>
        <w:pStyle w:val="Heading2"/>
      </w:pPr>
      <w:r>
        <w:t>2.2 Zarar ve tanıma (yük stoku)</w:t>
      </w:r>
    </w:p>
    <w:p>
      <w:r>
        <w:t>F’nin net değerleme zararı ile bankanın gerçekleşen kredi zararı (provizyon) serisi arasında ampirik geçiş zayıftır. Muhasebe yorumu: zarar F’de kalabilir veya forbearance/yapılandırma ile gecikmeli tanınır — kurumsal motor modellenmez. Temerrüt çift kayıt: alacaklı karşılık ayırır; borçlu defterinde borç nominal kalıp gecikme faizi birikebilir (faiz oranı varsayım).</w:t>
      </w:r>
    </w:p>
    <w:p>
      <w:pPr>
        <w:pStyle w:val="Heading2"/>
      </w:pPr>
      <w:r>
        <w:t>2.3 L / Lm — karşı taraf dağıtımı</w:t>
      </w:r>
    </w:p>
    <w:p>
      <w:r>
        <w:t>Borçlu haznenin değerleme/işlem kaybı, alacaklı varlık paylarına bölünür (Lm). Ölçülmüş fatura ağı değildir; sözleşmesel dağıtım. Banka serbest sermayeyi aşan kısım senaryolarda L[B,·] ile yayılır; fiilen çoğunlukla kamu desteği kanalıyla okunur (varsayım).</w:t>
      </w:r>
    </w:p>
    <w:p>
      <w:pPr>
        <w:pStyle w:val="Heading2"/>
      </w:pPr>
      <w:r>
        <w:t>2.4 Üç kanalın birleşik mekanizması → Minsky okuması</w:t>
      </w:r>
    </w:p>
    <w:p>
      <w:r>
        <w:t>Kur ↑ → TL cinsinden borç ağırlığı ve D tarafında değerleme (net pozisyon ≠ brüt dış borç). Borç stoku hızlı büyür (13 ay kart/tüketici ~%43–46) → roll-over / yeni borçla eskiyi ödeme davranışı. Yaşam maliyeti ↑ → reel taban erir; servis/gelir kötüleşir. Minsky moment (teori): finansmanın kesilmesi + gelir/kur şoku; modelde proxy eşikler hedge ≤%30, ponzi etiketi &gt;%40 (Ha servis/gelir, senaryo parametresi).</w:t>
      </w:r>
    </w:p>
    <w:p>
      <w:r>
        <w:t>Hedge: gelir faiz+anaparayı karşılar. Spekülatif: faiz taşınır, anapara yeniden borçlanır. Ponzi (davranış): gelir faizi karşılamaz; yeni borç eskiyi besler. Kopuş: kart/limit/kredi büyümesinin durması — depoda spread/red/limit serisi yok; tarih atanmaz.</w:t>
      </w:r>
    </w:p>
    <w:p>
      <w:pPr>
        <w:pStyle w:val="Heading2"/>
      </w:pPr>
      <w:r>
        <w:t>2.5 uc_kural senaryo geri bildirimi</w:t>
      </w:r>
    </w:p>
    <w:p>
      <w:r>
        <w:t>Taban, kapsama, DTI, tüketim tavanı, limit_dondur, F ücret kanalı, K′ bütçe NL birlikte çalışır. Revize: reel yaşam maliyeti düşüşü + makas; ek kilit limit_dondur = limit_stres ∧ yaşam düşüş eşiği. Sert: agresif taban, yüksek F ücret yükü, sürekli limit_dondur senaryoda.</w:t>
      </w:r>
    </w:p>
    <w:p>
      <w:pPr>
        <w:pStyle w:val="Heading1"/>
      </w:pPr>
      <w:r>
        <w:t>3. Bulgular (ölçüm + senaryo)</w:t>
      </w:r>
    </w:p>
    <w:p>
      <w:pPr>
        <w:pStyle w:val="Heading2"/>
      </w:pPr>
      <w:r>
        <w:t>3.1 Yaşam maliyeti ve taban (ölçüm/köprü)</w:t>
      </w:r>
    </w:p>
    <w:p>
      <w:r>
        <w:t>TÜFE yıllık (köprü): ~30.65%. Asgari net ~28.076 TL/ay; bekar yaşam sepeti ~48.885 TL/ay → kapsama ~%57,4 (2026 giriş). hane_taksit (2024, kart hariç): taksit/gelir ~%4,0 (18 yıl vade varsayımı); faiz stok oranı ~%53 — oran yükselişi çoğunlukla faiz faturası.</w:t>
      </w:r>
    </w:p>
    <w:p>
      <w:pPr>
        <w:pStyle w:val="Heading2"/>
      </w:pPr>
      <w:r>
        <w:t>3.2 Borç kalemleri (ölçüm)</w:t>
      </w:r>
    </w:p>
    <w:p>
      <w:r>
        <w:t>BDDK/EVDS 13 ay stok büyümesi: kart ~%45.88, tüketici ~%43.28. Dar takip G1 hane ~%5,09 (2026-09). Geniş tanım (yakın izleme) modele girmez; OKU ~%20–28 bandı.</w:t>
      </w:r>
    </w:p>
    <w:p>
      <w:pPr>
        <w:pStyle w:val="Heading2"/>
      </w:pPr>
      <w:r>
        <w:t>3.3 Kur ve dış borç (ölçüm)</w:t>
      </w:r>
    </w:p>
    <w:p>
      <w:r>
        <w:t>Brüt dış borç 2023-Q4 → 2026-Q2: EVDS ayrıştırma (Toplam) — yeni borçlanma TL ~3.13 trilyon, kur etkisi ~9.25 trilyon (OKU: kur payı ~%75). D net NFP değişimi = net işlem + değerleme; brüt USD stoku ile aynı nesne değil.</w:t>
      </w:r>
    </w:p>
    <w:p>
      <w:pPr>
        <w:pStyle w:val="Heading2"/>
      </w:pPr>
      <w:r>
        <w:t>3.4 Ha servis proxy ve Minsky bandı (senaryo)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Senaryo</w:t>
            </w:r>
          </w:p>
        </w:tc>
        <w:tc>
          <w:tcPr>
            <w:tcW w:type="dxa" w:w="2160"/>
          </w:tcPr>
          <w:p>
            <w:r>
              <w:t>Ha servis/gelir (2031-Q4)</w:t>
            </w:r>
          </w:p>
        </w:tc>
        <w:tc>
          <w:tcPr>
            <w:tcW w:type="dxa" w:w="2160"/>
          </w:tcPr>
          <w:p>
            <w:r>
              <w:t>Ponzi fazlası (pp)</w:t>
            </w:r>
          </w:p>
        </w:tc>
        <w:tc>
          <w:tcPr>
            <w:tcW w:type="dxa" w:w="2160"/>
          </w:tcPr>
          <w:p>
            <w:r>
              <w:t>Eğilim 2026–2031</w:t>
            </w:r>
          </w:p>
        </w:tc>
      </w:tr>
      <w:tr>
        <w:tc>
          <w:tcPr>
            <w:tcW w:type="dxa" w:w="2160"/>
          </w:tcPr>
          <w:p>
            <w:r>
              <w:t>mevcut</w:t>
            </w:r>
          </w:p>
        </w:tc>
        <w:tc>
          <w:tcPr>
            <w:tcW w:type="dxa" w:w="2160"/>
          </w:tcPr>
          <w:p>
            <w:r>
              <w:t>0.591</w:t>
            </w:r>
          </w:p>
        </w:tc>
        <w:tc>
          <w:tcPr>
            <w:tcW w:type="dxa" w:w="2160"/>
          </w:tcPr>
          <w:p>
            <w:r>
              <w:t>19.1</w:t>
            </w:r>
          </w:p>
        </w:tc>
        <w:tc>
          <w:tcPr>
            <w:tcW w:type="dxa" w:w="2160"/>
          </w:tcPr>
          <w:p>
            <w:r>
              <w:t>artis</w:t>
            </w:r>
          </w:p>
        </w:tc>
      </w:tr>
      <w:tr>
        <w:tc>
          <w:tcPr>
            <w:tcW w:type="dxa" w:w="2160"/>
          </w:tcPr>
          <w:p>
            <w:r>
              <w:t>uc_kural_kilitli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azalis</w:t>
            </w:r>
          </w:p>
        </w:tc>
      </w:tr>
      <w:tr>
        <w:tc>
          <w:tcPr>
            <w:tcW w:type="dxa" w:w="2160"/>
          </w:tcPr>
          <w:p>
            <w:r>
              <w:t>maliyet_ucuz_revize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  <w:tc>
          <w:tcPr>
            <w:tcW w:type="dxa" w:w="2160"/>
          </w:tcPr>
          <w:p>
            <w:r>
              <w:t>19.4</w:t>
            </w:r>
          </w:p>
        </w:tc>
        <w:tc>
          <w:tcPr>
            <w:tcW w:type="dxa" w:w="2160"/>
          </w:tcPr>
          <w:p>
            <w:r>
              <w:t>artis</w:t>
            </w:r>
          </w:p>
        </w:tc>
      </w:tr>
    </w:tbl>
    <w:p/>
    <w:p>
      <w:r>
        <w:t>Model Ha servis ~%47 (2026-Q4 mevcut giriş) ile hane_taksit ~%4 aynı nesne değildir; birlikte okunmalıdır.</w:t>
      </w:r>
    </w:p>
    <w:p>
      <w:pPr>
        <w:pStyle w:val="Heading2"/>
      </w:pPr>
      <w:r>
        <w:t>3.5 uc_kural 2031-Q4 karşılaştırma (senaryo)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Gösterge</w:t>
            </w:r>
          </w:p>
        </w:tc>
        <w:tc>
          <w:tcPr>
            <w:tcW w:type="dxa" w:w="2160"/>
          </w:tcPr>
          <w:p>
            <w:r>
              <w:t>mevcut</w:t>
            </w:r>
          </w:p>
        </w:tc>
        <w:tc>
          <w:tcPr>
            <w:tcW w:type="dxa" w:w="2160"/>
          </w:tcPr>
          <w:p>
            <w:r>
              <w:t>uc_kural_kilitli</w:t>
            </w:r>
          </w:p>
        </w:tc>
        <w:tc>
          <w:tcPr>
            <w:tcW w:type="dxa" w:w="2160"/>
          </w:tcPr>
          <w:p>
            <w:r>
              <w:t>maliyet_ucuz_revize</w:t>
            </w:r>
          </w:p>
        </w:tc>
      </w:tr>
      <w:tr>
        <w:tc>
          <w:tcPr>
            <w:tcW w:type="dxa" w:w="2160"/>
          </w:tcPr>
          <w:p>
            <w:r>
              <w:t>Ha servis/gelir</w:t>
            </w:r>
          </w:p>
        </w:tc>
        <w:tc>
          <w:tcPr>
            <w:tcW w:type="dxa" w:w="2160"/>
          </w:tcPr>
          <w:p>
            <w:r>
              <w:t>0.591</w:t>
            </w:r>
          </w:p>
        </w:tc>
        <w:tc>
          <w:tcPr>
            <w:tcW w:type="dxa" w:w="2160"/>
          </w:tcPr>
          <w:p>
            <w:r>
              <w:t>0.317</w:t>
            </w:r>
          </w:p>
        </w:tc>
        <w:tc>
          <w:tcPr>
            <w:tcW w:type="dxa" w:w="2160"/>
          </w:tcPr>
          <w:p>
            <w:r>
              <w:t>0.594</w:t>
            </w:r>
          </w:p>
        </w:tc>
      </w:tr>
      <w:tr>
        <w:tc>
          <w:tcPr>
            <w:tcW w:type="dxa" w:w="2160"/>
          </w:tcPr>
          <w:p>
            <w:r>
              <w:t>Kapsama</w:t>
            </w:r>
          </w:p>
        </w:tc>
        <w:tc>
          <w:tcPr>
            <w:tcW w:type="dxa" w:w="2160"/>
          </w:tcPr>
          <w:p>
            <w:r>
              <w:t>0.574</w:t>
            </w:r>
          </w:p>
        </w:tc>
        <w:tc>
          <w:tcPr>
            <w:tcW w:type="dxa" w:w="2160"/>
          </w:tcPr>
          <w:p>
            <w:r>
              <w:t>0.854</w:t>
            </w:r>
          </w:p>
        </w:tc>
        <w:tc>
          <w:tcPr>
            <w:tcW w:type="dxa" w:w="2160"/>
          </w:tcPr>
          <w:p>
            <w:r>
              <w:t>0.861</w:t>
            </w:r>
          </w:p>
        </w:tc>
      </w:tr>
      <w:tr>
        <w:tc>
          <w:tcPr>
            <w:tcW w:type="dxa" w:w="2160"/>
          </w:tcPr>
          <w:p>
            <w:r>
              <w:t>Yaşam maliyeti (TL/ay)</w:t>
            </w:r>
          </w:p>
        </w:tc>
        <w:tc>
          <w:tcPr>
            <w:tcW w:type="dxa" w:w="2160"/>
          </w:tcPr>
          <w:p>
            <w:r>
              <w:t>48885.0</w:t>
            </w:r>
          </w:p>
        </w:tc>
        <w:tc>
          <w:tcPr>
            <w:tcW w:type="dxa" w:w="2160"/>
          </w:tcPr>
          <w:p>
            <w:r>
              <w:t>74300</w:t>
            </w:r>
          </w:p>
        </w:tc>
        <w:tc>
          <w:tcPr>
            <w:tcW w:type="dxa" w:w="2160"/>
          </w:tcPr>
          <w:p>
            <w:r>
              <w:t>39943.0</w:t>
            </w:r>
          </w:p>
        </w:tc>
      </w:tr>
      <w:tr>
        <w:tc>
          <w:tcPr>
            <w:tcW w:type="dxa" w:w="2160"/>
          </w:tcPr>
          <w:p>
            <w:r>
              <w:t>Net taban (TL/ay)</w:t>
            </w:r>
          </w:p>
        </w:tc>
        <w:tc>
          <w:tcPr>
            <w:tcW w:type="dxa" w:w="2160"/>
          </w:tcPr>
          <w:p>
            <w:r>
              <w:t>28076.0</w:t>
            </w:r>
          </w:p>
        </w:tc>
        <w:tc>
          <w:tcPr>
            <w:tcW w:type="dxa" w:w="2160"/>
          </w:tcPr>
          <w:p>
            <w:r>
              <w:t>63415.0</w:t>
            </w:r>
          </w:p>
        </w:tc>
        <w:tc>
          <w:tcPr>
            <w:tcW w:type="dxa" w:w="2160"/>
          </w:tcPr>
          <w:p>
            <w:r>
              <w:t>34384.0</w:t>
            </w:r>
          </w:p>
        </w:tc>
      </w:tr>
      <w:tr>
        <w:tc>
          <w:tcPr>
            <w:tcW w:type="dxa" w:w="2160"/>
          </w:tcPr>
          <w:p>
            <w:r>
              <w:t>NFP_H (milyar TL)</w:t>
            </w:r>
          </w:p>
        </w:tc>
        <w:tc>
          <w:tcPr>
            <w:tcW w:type="dxa" w:w="2160"/>
          </w:tcPr>
          <w:p>
            <w:r>
              <w:t>26182.2</w:t>
            </w:r>
          </w:p>
        </w:tc>
        <w:tc>
          <w:tcPr>
            <w:tcW w:type="dxa" w:w="2160"/>
          </w:tcPr>
          <w:p>
            <w:r>
              <w:t>31553.6</w:t>
            </w:r>
          </w:p>
        </w:tc>
        <w:tc>
          <w:tcPr>
            <w:tcW w:type="dxa" w:w="2160"/>
          </w:tcPr>
          <w:p>
            <w:r>
              <w:t>26941.4</w:t>
            </w:r>
          </w:p>
        </w:tc>
      </w:tr>
      <w:tr>
        <w:tc>
          <w:tcPr>
            <w:tcW w:type="dxa" w:w="2160"/>
          </w:tcPr>
          <w:p>
            <w:r>
              <w:t>F ücret kanalı küm.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13647.5</w:t>
            </w:r>
          </w:p>
        </w:tc>
        <w:tc>
          <w:tcPr>
            <w:tcW w:type="dxa" w:w="2160"/>
          </w:tcPr>
          <w:p>
            <w:r>
              <w:t>834.9</w:t>
            </w:r>
          </w:p>
        </w:tc>
      </w:tr>
      <w:tr>
        <w:tc>
          <w:tcPr>
            <w:tcW w:type="dxa" w:w="2160"/>
          </w:tcPr>
          <w:p>
            <w:r>
              <w:t>Korunmasız USD stok (mr)</w:t>
            </w:r>
          </w:p>
        </w:tc>
        <w:tc>
          <w:tcPr>
            <w:tcW w:type="dxa" w:w="2160"/>
          </w:tcPr>
          <w:p>
            <w:r>
              <w:t>162.9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  <w:tc>
          <w:tcPr>
            <w:tcW w:type="dxa" w:w="2160"/>
          </w:tcPr>
          <w:p>
            <w:r>
              <w:t>120.0</w:t>
            </w:r>
          </w:p>
        </w:tc>
      </w:tr>
    </w:tbl>
    <w:p/>
    <w:p>
      <w:pPr>
        <w:pStyle w:val="Heading2"/>
      </w:pPr>
      <w:r>
        <w:t>3.6 Hane alt taban (varsayım)</w:t>
      </w:r>
    </w:p>
    <w:p>
      <w:r>
        <w:t>D_A_BASE=%40 (taban; ölçüm değil). 2026-Q1 Ha NFP ~-1.63 trilyon TL. Duyarlılık tablosunda satir_tipi: taban | duyarlilik (hane_alt_duyarlik.csv). %70 satırı duyarlılıktır; lambda_B taban ~0,16, %70 duyarlılık ~0,59.</w:t>
      </w:r>
    </w:p>
    <w:p>
      <w:pPr>
        <w:pStyle w:val="Heading1"/>
      </w:pPr>
      <w:r>
        <w:t>4. Minsky noktası — yaklaşma ve bilinemeyenler</w:t>
      </w:r>
    </w:p>
    <w:p>
      <w:r>
        <w:t>Tanım: nakit akışı bağının kopması ve/veya roll-over’ın durması (yeni kredi/kart hattı kesilir). Ölçüde henüz sistemik kredi durması ve spread/limit serisi yok → moment atanmaz. Yaklaşma imzası: yüksek stok büyümesi + yüksek faiz ortamı + geçim baskısı + kurun TL yükünü artırması. Sert senaryo servisi düşürür ve limit_dondur uygular — karşı-olgu, tahmin değil.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Senaryo çerçevesi</w:t>
            </w:r>
          </w:p>
        </w:tc>
        <w:tc>
          <w:tcPr>
            <w:tcW w:type="dxa" w:w="4320"/>
          </w:tcPr>
          <w:p>
            <w:r>
              <w:t>Yön (Minsky okuması)</w:t>
            </w:r>
          </w:p>
        </w:tc>
      </w:tr>
      <w:tr>
        <w:tc>
          <w:tcPr>
            <w:tcW w:type="dxa" w:w="4320"/>
          </w:tcPr>
          <w:p>
            <w:r>
              <w:t>Kur ↑ + yaşam ↑</w:t>
            </w:r>
          </w:p>
        </w:tc>
        <w:tc>
          <w:tcPr>
            <w:tcW w:type="dxa" w:w="4320"/>
          </w:tcPr>
          <w:p>
            <w:r>
              <w:t>Servis baskısı artar; roll-over ihtiyacı artar</w:t>
            </w:r>
          </w:p>
        </w:tc>
      </w:tr>
      <w:tr>
        <w:tc>
          <w:tcPr>
            <w:tcW w:type="dxa" w:w="4320"/>
          </w:tcPr>
          <w:p>
            <w:r>
              <w:t>Stok büyümesi → 0</w:t>
            </w:r>
          </w:p>
        </w:tc>
        <w:tc>
          <w:tcPr>
            <w:tcW w:type="dxa" w:w="4320"/>
          </w:tcPr>
          <w:p>
            <w:r>
              <w:t>Moment tanımına en yakın olay (Ponzi beslemesi kesilir)</w:t>
            </w:r>
          </w:p>
        </w:tc>
      </w:tr>
      <w:tr>
        <w:tc>
          <w:tcPr>
            <w:tcW w:type="dxa" w:w="4320"/>
          </w:tcPr>
          <w:p>
            <w:r>
              <w:t>Yaşam ↓, stok aynı</w:t>
            </w:r>
          </w:p>
        </w:tc>
        <w:tc>
          <w:tcPr>
            <w:tcW w:type="dxa" w:w="4320"/>
          </w:tcPr>
          <w:p>
            <w:r>
              <w:t>Geçim rahatlar; borç yolu Ponzi kalırsa moment ertelenir</w:t>
            </w:r>
          </w:p>
        </w:tc>
      </w:tr>
      <w:tr>
        <w:tc>
          <w:tcPr>
            <w:tcW w:type="dxa" w:w="4320"/>
          </w:tcPr>
          <w:p>
            <w:r>
              <w:t>Kur ↑ + stok hızlı</w:t>
            </w:r>
          </w:p>
        </w:tc>
        <w:tc>
          <w:tcPr>
            <w:tcW w:type="dxa" w:w="4320"/>
          </w:tcPr>
          <w:p>
            <w:r>
              <w:t>Üçlü şok; kopuş riski artar (büyüklük desilde bilinmez)</w:t>
            </w:r>
          </w:p>
        </w:tc>
      </w:tr>
    </w:tbl>
    <w:p/>
    <w:p>
      <w:pPr>
        <w:pStyle w:val="Heading1"/>
      </w:pPr>
      <w:r>
        <w:t>5. Model sınırları</w:t>
      </w:r>
    </w:p>
    <w:p>
      <w:r>
        <w:t>Merkezi sınır: kapalı muhasebe her kaydı bir yere yazar; tanımanın neden/ne zaman/nasıl olduğunu açıklamaz (MODEL_KUSURLARI.md). Lambda zayıf; Lm basit paya yakın; hisse/FDI/YP kırılımı yok; K′ ≠ merkezi bütçe; Minsky psikolojisi/forbearance yok. Politika reçetesi üretilmez.</w:t>
      </w:r>
    </w:p>
    <w:p>
      <w:pPr>
        <w:pStyle w:val="Heading2"/>
      </w:pPr>
      <w:r>
        <w:t>5.1 Ne denmez</w:t>
      </w:r>
    </w:p>
    <w:p>
      <w:pPr>
        <w:pStyle w:val="ListBullet"/>
      </w:pPr>
      <w:r>
        <w:t>“Türkiye Minsky moment’i 20XX’te geçti.”</w:t>
      </w:r>
    </w:p>
    <w:p>
      <w:pPr>
        <w:pStyle w:val="ListBullet"/>
      </w:pPr>
      <w:r>
        <w:t>“Ha servis %47 = her hane taksit/gelir %47.”</w:t>
      </w:r>
    </w:p>
    <w:p>
      <w:pPr>
        <w:pStyle w:val="ListBullet"/>
      </w:pPr>
      <w:r>
        <w:t>“Lm matrisi gerçek borç ağını ölçtü.”</w:t>
      </w:r>
    </w:p>
    <w:p>
      <w:pPr>
        <w:pStyle w:val="ListBullet"/>
      </w:pPr>
      <w:r>
        <w:t>“Lambda_B = 0,59 kesin tanıma oranıdır.” (%70 duyarlılık satırı.)</w:t>
      </w:r>
    </w:p>
    <w:p>
      <w:pPr>
        <w:pStyle w:val="ListBullet"/>
      </w:pPr>
      <w:r>
        <w:t>Varsayım paylarını ölçülmüş gerçek gibi sunmak.</w:t>
      </w:r>
    </w:p>
    <w:p>
      <w:pPr>
        <w:pStyle w:val="Heading1"/>
      </w:pPr>
      <w:r>
        <w:t>6. Dosya referansları ve yenileme</w:t>
      </w:r>
    </w:p>
    <w:p>
      <w:pPr>
        <w:pStyle w:val="ListBullet"/>
      </w:pPr>
      <w:r>
        <w:t>OKU.txt — veri, test, lambda, hane_alt</w:t>
      </w:r>
    </w:p>
    <w:p>
      <w:pPr>
        <w:pStyle w:val="ListBullet"/>
      </w:pPr>
      <w:r>
        <w:t>MODEL_KUSURLARI.md, VARSAYIM_UYARISI.md</w:t>
      </w:r>
    </w:p>
    <w:p>
      <w:pPr>
        <w:pStyle w:val="ListBullet"/>
      </w:pPr>
      <w:r>
        <w:t>MINSKY_GUNCEL_KARSILASTIRMA.md</w:t>
      </w:r>
    </w:p>
    <w:p>
      <w:pPr>
        <w:pStyle w:val="ListBullet"/>
      </w:pPr>
      <w:r>
        <w:t>uc_kural_senaryo_sonuc.json, ponzi_egilim_sonuc.json</w:t>
      </w:r>
    </w:p>
    <w:p>
      <w:pPr>
        <w:pStyle w:val="ListBullet"/>
      </w:pPr>
      <w:r>
        <w:t>acik_veri_ozet.json, hane_taksit_ozeti.json, kalibre_lambda_ozeti.json</w:t>
      </w:r>
    </w:p>
    <w:p>
      <w:pPr>
        <w:pStyle w:val="ListBullet"/>
      </w:pPr>
      <w:r>
        <w:t>Çalıştırma: python3 akis_model.py; python3 uc_kural_senaryo.py; python3 yayin_zarar_teorisi_docx.py</w:t>
      </w:r>
    </w:p>
    <w:p>
      <w:r>
        <w:br/>
        <w:t>— Belge otomatik üretilmiştir; markdown kaynaklarla çelişirse depo JSON/CSV ve OKU.txt esas alınır.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