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HEKİS: Teknik Belge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Denklemler, parametreler, algoritmalar ve doğrulama. Sistemi modelleyecek ya da denetleyecek okuyucu için.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Sürüm: 7 Ekim 2026. Kişisel modelleme; doğrulanmış bir kamu maliyesi modeli değildir. Kod depoda (hekis/ ve app/), bu belge kodu ve not dosyalarını özetler. Anlatım için ayrıca HEKIS_Sistemin_Butunu.docx.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Mimari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Model stok-akış hesabıdır. Üç defter ayrı tutulur: mülkiyet (anapara, TÜFE endeksli), oturan (kiracının ödemesi), senet (havuz nakdi). Bu belgedeki hesap yalnızca ilk yıl akışını ve onun üstüne kurulan kademeli yolu anlatır; 20 yıllık yük hesabı model.py/bind.py içindedir.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zones.py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Üç bölge, katılım, bedel gelirleri, sübvansiyon (run_three_zone). Çekirdek.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Lüks tepki ve kaçınma fonksiyonları (lux_response, effective_collection).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politics.py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Gelir dağılımı (lognormal), dereceli kira, abonelik gideri.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activation.py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Katılım fonksiyonu, tutma maliyeti, tip daireler.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model.py / bind.py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Havuz, oturan ve senet defterleri, 20 yıllık akış, sekiz çalıştırma kipi.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stalled.py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Duran inşaat tamamlama.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systems.py / anadolu.py / cities.py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İstanbul ve Anadolu (7 şehir) ayrı sistemler; şehir fiyat/kira/gelir çarpanları.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pilot.py / horizon.py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Mikro pilot, kapı eşikleri, 10 yıllık kademeli yol, şoklar, Monte Carlo.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Gini, yoksulluk, kira ve TÜFE etkisi, yıl bazlı.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anchor.py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 tasarruf finansman verisiyle ölçek kontrolü.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export_app.py / app/</w:t>
            </w:r>
          </w:p>
        </w:tc>
        <w:tc>
          <w:tcPr>
            <w:tcW w:type="dxa" w:w="6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 portu ve simülatör; verify.js Python ile karşılaştırır.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Girdiler ve veri durumu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rPr>
          <w:tblHeader/>
        </w:trP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 / durum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Boş stok (İstanbul)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 bin (225-750 bin)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IBB elektrik/su tabanlı tahmin; yöntem farkı, tek sayı değil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Konut stoku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 milyon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PREMAR 2025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Hane / kiracı hane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5,10 mn / 1,38 mn (pay %27)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ADNKS; kiracı payı ulusal varsayım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Hane geliri dağılımı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Lognormal, medyan 241.151 TL, ort. 332.882 TL, σ=0,803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TÜİK; ortalama/medyandan σ=√(2 ln(ort/med))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Gelir ölçeği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= 1,0 (ulusal); aralık 0,63-1,31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Sendika verisi ve TR10; D (İPA) 0,95-1,04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HEKİS gelir eşiği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55.000 TL (düz memur maaşı)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%40,7 (İstanbul)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Tutma maliyeti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≈%1,0 / yıl (değerin)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Vergi, aidat, bakım; aidat ortalaması İstanbul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Beklenen reel konut artışı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−%3,7 (İstanbul)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TCMB KFE −%6,5 + Endeksa İstanbul farkı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Duran inşaat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 birim; %50 tamamlanabilir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Kullanıcı kararı; sektör iddiası 100 bin; kaynaksız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Tamamlama maliyeti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× 26.000 TL/m² × 100 m² = 520 bin TL/birim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Yapı yaklaşık birim maliyeti 2026 (19.800-33.900)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Kira TÜFE ağırlığı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%6,76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TÜİK 2026 sepeti</w:t>
            </w:r>
          </w:p>
        </w:tc>
      </w:tr>
      <w:t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Reel faiz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+%4,2 (bugün)</w:t>
            </w:r>
          </w:p>
        </w:tc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Politika faizi %37, TÜFE %31,51 (Ağustos)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Çekirdek denklemler (ilk yıl)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3.1 Bölge bölme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S_l = stok × cut                     (cut = 0,20; lüks bant)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rest = stok − S_l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S_h = rest × q_h / (q_h + (1 − q_h − cut))     (HEKİS bandı)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S_b = rest − S_h                      (tampon)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İstanbul: q_h = 0,4075; S_h = 183.370, S_b = 176.630, S_l = 90.000. Değerler: havuz sınıfı birim 2,41 mn TL, tampon 4,69 mn TL, lüks 9,47 mn TL (lognormal değer, σ=0,6, band ortalaması).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3.2 Katılım (sahibin kararı)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 = cap / (1 + exp(−slope × (hold + fee − g_e)))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cap = 0,25 (en olası; 0,40 üst senaryo), slope = 25, hold ≈ 0,0100, fee = genel bedel, g_e = beklenen reel konut artışı. Senet reel getirisi 0 olduğu için sahibin havuz kararı elde tutma getirisiyle (g_e − hold − fee) karşılaştırmasına iner. slope ve cap kalibre değil, varsayımdır. Havuza yerleşen N = S_h × p (İstanbul %20,2 → 36.963 hane).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Faiz kanalı (regresyon, 2019-2025, n=7, R² 0,81): g_e = 0,005 − 1,35 × reel faiz. Reel faiz 0 iken g_e = +%0,5; −%5 iken ≈ +%7,2. n=7 olduğundan nedensellik değil, örtüşme.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3.3 Dereceli kira ve sübvansiyon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oturan öder = min(piyasa kirası, α × hane geliri)         (α = 0,30)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hane geliri(q) = exp(μ + σ z(q)) × ölçek × eq × uplift / 12     (eq = 2,0; uplift = 1,651)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sub = N × B,   B = kira farkı + abonelik + aidat (havuz)    B_İstanbul = 106.061 TL/yıl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Uygun hane [0, q_h] aralığından kura ile seçilir. Abonelik (elektrik, doğalgaz, su ≈1.583 TL/ay) ve aidat havuzdan karşılanır. B, gelir ölçeği (inc), α çarpanı ve maliyet çarpanına (aidat ve abonelik) bağlıdır; JS portu bunu 10×8×3 noktalık tablodan interpolasyonla alır.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3.4 Bedel gelirleri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rev_pool = S_h (1 − p) V_h × fee × coll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rev_buf  = S_b (1 − r(fee)) V_b × fee × e(fee, coll)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rev_lux  = S_l (1 − r(lux_fee)) V_l × lux_fee × e(lux_fee, lux_coll)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r(f) = 0,65 × (1 − exp(−100 f / 1,69))                (boşluktan çıkış; Vancouver ankoru)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e(f, c) = max(0, c − 0,05 × max(0, 100 f − 5))        (%5 üstü kaçınma)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Vancouver ankoru: %3 bedelde boşluk %54 azalır → 1 − exp(−3/1,69) = 0,83; 0,65 tavanla 0,54. Kaçınma eğimi (her fazla puan için tahsilatta 5 puan kayıp) varsayımdır. Önceki sürümdeki %10 tahsilat tabanı kaldırıldı (hiçbir sonucu değiştirmedi, ama sıfır tahsilatta bile finansmanı varmış gibi gösteriyordu).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İstanbul en olası: rev_pool 1,06 mr, rev_buf 1,76 mr, rev_lux 6,54 mr; toplam 9,37 mr TL. sub = 3,92 mr TL. Oran = rev / sub = 2,39. Gelirin %70'i lüks bedelden gelir.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3.5 Kendini finanse etme koşulu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fee × coll ≥ (12 s / V) × p / (1 − p)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s: yerleşen daire başı aylık sübvansiyon, V: değer. Katılım arttıkça bedel ödeyen taban eridiği için oran düşer (iyimser senaryoda katılım %44 iken oran 1,72). Bu yüzden katılım için yalnız alt sınır aranır; üst sınırı oran kapısı uygular.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3.6 Senet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Anapara TÜFE ile yürür, reel kupon sıfır. Hedef primi = min(0,10; 0,04 × (fiziki endeks − 1)); 1/7 sahibe, 6/7 üretim devresine. Yalnız yurt içi, yalnız sistem içinde itfa. İhraç yaklaşık 89,2 mr TL (≈1,83 mr USD), boş stok değerinin (≈1,6 trilyon TL) %5,6'sı. Sahibin reel getirisi prim tavanında %1,43, mevduat +%4,2: senet katılımı cazibeyle değil bedel baskısıyla sağlar. Fiziki endeks modelde dışarıdan (sabit 1,00); ödenmeyen anapara garantisi tanımsız.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3.7 Duran inşaat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30.000 × %50 tamamlanabilir × %41 HEKİS bandı = 6.112 birim; sermaye 3,2 mr TL; tamamlama bedeli kiradan geri ödenir (≈3,4 yıl), mülkiyet alıcıda kalır. Kentsel dönüşüm ve tadilat kapsam dışı.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Kademeli yürürlük algoritması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Her yıl t için: ölçek size_t; tahsilat erozyonu uygulanır; sistem koşturulur; ölçüm gürültülü gözlenir; kapı değerlendirilir; geçerse size_{t+1} = min(tam, size_t × 2,5).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erozyon çarpanı f = 1 − ε × ln(size / 3800) / ln(tam / 3800)     (ε = 0,25, varsayım)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coll_eff = coll × f,   lux_coll_eff = lux_coll × 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Ölçüm: tahsilatlar ve katılım binom hata ile gözlenir (n = ilgili birim sayısı); hane geliri log-normal örnek ortalamasıyla (σ=0,803/√n). Pilot 3.800 birim, lüks tahsilatını ±4,6 puan ölçer.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Kapı (tamamı sağlanmalı, ölçülen değerle)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rPr>
          <w:tblHeader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Koşul</w:t>
            </w:r>
          </w:p>
        </w:tc>
        <w:tc>
          <w:tcPr>
            <w:tcW w:type="dxa" w:w="4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Eşik / not</w:t>
            </w:r>
          </w:p>
        </w:tc>
      </w:tr>
      <w:t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Katılım</w:t>
            </w:r>
          </w:p>
        </w:tc>
        <w:tc>
          <w:tcPr>
            <w:tcW w:type="dxa" w:w="4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%15 (alt sınır kararım; üst sınır yok, oran kapısı bütçeyi uygular)</w:t>
            </w:r>
          </w:p>
        </w:tc>
      </w:tr>
      <w:t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Bedel / sübvansiyon (ölçülen tahsilat, gelir, kiracı tahsilatı ile)</w:t>
            </w:r>
          </w:p>
        </w:tc>
        <w:tc>
          <w:tcPr>
            <w:tcW w:type="dxa" w:w="4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1,25 (tespit, tahsil, idari maliyet payı)</w:t>
            </w:r>
          </w:p>
        </w:tc>
      </w:tr>
      <w:t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Kiracı ödeme tahsilatı</w:t>
            </w:r>
          </w:p>
        </w:tc>
        <w:tc>
          <w:tcPr>
            <w:tcW w:type="dxa" w:w="4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%80 (operasyonel karar; finansal taban %38)</w:t>
            </w:r>
          </w:p>
        </w:tc>
      </w:tr>
      <w:t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Ölçülen hane geliri / varsayım</w:t>
            </w:r>
          </w:p>
        </w:tc>
        <w:tc>
          <w:tcPr>
            <w:tcW w:type="dxa" w:w="4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%85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Kapı geçilmezse ölçek dondurulur; düzeltme etkisi varsayılmaz (muhafazakâr). Şok varsa yerleşmiş haneler korunur, yeni yerleştirme durur. Genel ve lüks tahsilat için birlikte eşik (genel %30 → lüks ≥ %18 olarak ölçülen; %20 → ≥ %23; %10 → ≥ %29).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Monte Carlo çekimi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Üst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(en olası)</w:t>
            </w:r>
          </w:p>
        </w:tc>
      </w:tr>
      <w:tr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g_e (beklenen reel artış)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−0,15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+0,15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−0,037</w:t>
            </w:r>
          </w:p>
        </w:tc>
      </w:tr>
      <w:tr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 (katılım tavanı)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 (genel tahsilat)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0,15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</w:tr>
      <w:tr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lux_coll (lüks tahsilat)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Üçgen dağılım. Uygulamada senaryo merkezine göre kaydırılır (alt/üst genişlik baz değerden alınır). Önceki sürümde parametre sırası yanlıştı (Python triangular(low, high, mode)); düzeltildi, etkilenen sayılar yeniden hesaplandı.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Şoklar (3. yıldan itibaren)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Şok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Tanım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Fiyat rallisi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g_e + 0,10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Lüks tahsilat çöküşü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lux_coll × 0,4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Genel tahsilat çöküşü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 × 0,5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Hane geliri −%30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 × 0,7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Bedel iptali (hukuki)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lux_coll = coll = 0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Kısmi iptal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yalnız lux_coll = 0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Gelir erimesi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 × 0,8 ve kiracı tahsilatı × 0,8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 krizi + sermaye çıkışı (vekil)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maliyet × 1,3, g_e + 0,10, lux_coll × 0,7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Ağır kriz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g_e + 0,10, lux_coll = 0, inc × 0,8, kiracı tahsilatı × 0,8</w:t>
            </w:r>
          </w:p>
        </w:tc>
      </w:tr>
      <w:tr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Enflasyon şoku</w:t>
            </w:r>
          </w:p>
        </w:tc>
        <w:tc>
          <w:tcPr>
            <w:tcW w:type="dxa" w:w="5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OVP + 10 puan; ilk yıl oranına yansımaz (indeksli akış 20 yılda işler)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Sosyal etki ve yaşam maliyeti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phi = min(1, N / (0,4 × hane));  fayda B alt %40 içinden phi payına dağılır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Gini ve göreli yoksulluk (medyanın %50'si): lognormal dağılım üzerinde fayda öncesi ve sonrası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kira etkisi = −N / (kiracı × ε);   arz dahil = −(N + 0,5 × serbest kalan) / (kiracı × ε)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TÜFE puanı = 0,0676 × kira etkisi × 100;   ulusal = yerel × hane payı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Esneklik ε: 0,3 / 0,6 / 1,0 (literatür tahmini, doğrulanmadı). Serbest kalan lüks/tampon birimlerin yarısının kiraya gittiği varsayımı üst sınırı verir. Hane payı: sistem hanesi / (86,09 mn nüfus / 3,09); İstanbul %18, Anadolu 7 şehir %28. Etki tek seferlik düzey etkisidir, yıllık enflasyona eklenmez.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Sonuçlar (en olası senaryo)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İstanbul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Anadolu (7 şehir)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Tarife (genel / lüks)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%1 / %5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%0,5 / %3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Boş stok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450.000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663.831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 ölçekte yerleşen (erozyonsuz)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36.963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66.884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Kapsam (uygun kiracı)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%6,6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%6,5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Sübvansiyon / bedel (mr TL/yıl)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3,92 / 9,37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3,18 / 6,69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 (erozyonsuz / %25 erozyon)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2,39 / 1,79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2,11 / 1,58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 ölçeğe ulaşma (kusursuz ölçüm)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yıl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yıl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yıl kümülatif net (kusursuz)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+17,2 mr TL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+9,4 mr TL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MC: tam ölçek / pilotta takılma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%50-52 / %37-38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%49-50 / %34-36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MC: 10 yıl net medyan (P10 / P90)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+11,1 (0,8 / 37,9)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+5,5 (0,3 / 23,5)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ΔGini / Δyoksulluk (tam ölçek)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−0,0007 / −0,16 puan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−0,0004 / −0,085 puan</w:t>
            </w:r>
          </w:p>
        </w:tc>
      </w:tr>
      <w:t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Kira / TÜFE yerel / ulusal (ε=0,6)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−%4,5 / −0,30 / −0,055</w:t>
            </w:r>
          </w:p>
        </w:tc>
        <w:tc>
          <w:tcPr>
            <w:tcW w:type="dxa" w:w="2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−%5,2 / −0,35 / −0,10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Senaryolar (İstanbul, 100-300 çekim): iyimser (cap %55, tahsilat %60/%60) tam ölçek %72; kötümser (cap %8) %24, pilotta takılma %68; reel faiz sıfır %42 / %46; reel faiz −%5 %15 / %83; tahsilat İrlanda gibi %19 / %60 ve oran 0,78; hukuki iptal %0, 5 yıl net negatif çekimler %60-65; ağır kriz %0, zarar %12-16. Ayrıntı HEKIS_Senaryolar.pdf ve PILOT.md.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Şok direnci: </w:t>
      </w:r>
      <w:r>
        <w:rPr>
          <w:rFonts w:ascii="Arial" w:cs="Arial" w:eastAsia="Arial" w:hAnsi="Arial"/>
          <w:sz w:val="22"/>
          <w:szCs w:val="22"/>
        </w:rPr>
        <w:t xml:space="preserve">kapı büyümeyi durdurduğu için finansal kayıp sınırlı kalır (bedel iptali 3. yılda gelirse 20 yıllık yük ≈4 mr TL, tam ölçekte ≈84 mr TL). Zayıflık finansal değil ölçektedir: fiyat beklentisi ≈4 puan yükselirse katılım %15'in altına iner. Anadolu daha kırılgandır (düşük tarife, ince marj); ulusal şokta (hukuki iptal, kur) iki sistem birlikte düşer.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Doğrulama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Birim testler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test (unittest), hepsi geçer: model, katılım, mülkiyet, şehir, bölge, havuz kirası, duran inşaat, Anadolu, pilot, anchor, kapı, sosyal, iki sistem</w:t>
            </w:r>
          </w:p>
        </w:tc>
      </w:tr>
      <w:t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Gerçeklik kontrolleri (checks.py)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kontrol: 4 uyumlu, 9 uyarı, 2 doğrulanamaz</w:t>
            </w:r>
          </w:p>
        </w:tc>
      </w:tr>
      <w:t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Monte Carlo (evaluate.py)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 çekim, 19 parametre; baskın girdiler: beklenen reel artış (ρ 0,63), katılım tavanı (−0,41...−0,5), gelir ölçeği (0,26)</w:t>
            </w:r>
          </w:p>
        </w:tc>
      </w:tr>
      <w:t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 portu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rastgele noktada en büyük bağıl fark %0,68 (B interpolasyonu); kademeli yollar birebir (%0,000)</w:t>
            </w:r>
          </w:p>
        </w:tc>
      </w:tr>
      <w:t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Dış çapa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 tasarruf finansman aktifi toplam mevduatın %0,29'u; senet %0,28'i: dolarizasyon kapasitesi ≈0 sonucuyla uyumlu</w:t>
            </w:r>
          </w:p>
        </w:tc>
      </w:tr>
      <w:tr>
        <w:tc>
          <w:tcPr>
            <w:tcW w:type="dxa" w:w="3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Kendini finanse etme cebiri</w:t>
            </w:r>
          </w:p>
        </w:tc>
        <w:tc>
          <w:tcPr>
            <w:tcW w:type="dxa" w:w="5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selffinance.py: gereken etkin bedel p=%10'da %0,3, %36'da %1,5, %50'de %2,7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D8A"/>
          <w:sz w:val="25"/>
          <w:szCs w:val="25"/>
        </w:rPr>
        <w:t xml:space="preserve">Bulunan ve düzeltilen hatalar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Monte Carlo üçgen dağılım parametre sırası yanlıştı; belirsizlik sonuçları çarpıktı. Düzeltildi; tüm çekimli sayılar yeniden hesaplandı.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Kapıda katılım üst sınırı (%38), oran kapısıyla aynı bütçe sınırını ikinci kez uyguluyordu ve tahsilatın iyi olduğu senaryoda sistemi haksız tutuyordu. Kaldırıldı.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Etkin tahsilatta %10 taban: sıfır tahsilatta bile finansman varmış gibi gösteriyordu. Kaldırıldı (ana sonuçları değiştirmedi).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Kapı kiracı tahsilatını ve geliri ölçmüyordu; gelir erimesi büyümeye devam ediyordu. Eklendi.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TÜFE puanı yerel ve ulusal ayrılmadan sunuluyordu. Ayrıldı (İstanbul −0,30, ulusal −0,055).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Varsayım envanteri ve duyarlılık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200"/>
        <w:gridCol w:w="2400"/>
      </w:tblGrid>
      <w:tr>
        <w:trPr>
          <w:tblHeader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Varsayım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Aralık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Duyarlılık / durum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Katılım tavanı (cap)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0,25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0,10-0,60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Yüksek; kalibre edilemez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Katılım eğimi (slope)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10-50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Orta; kalibre değil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Beklenen reel artış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−0,037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−0,15...+0,15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yüksek (ρ 0,63)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Genel tahsilat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0,15-0,90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Orta; İrlanda: işaretlenenin ~%6'sı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Lüks tahsilat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0,40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0,30-0,90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Kritik; hiç ölçülmedi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Ölçek erozyonu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0,25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0-0,50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Orta; veri yok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Katılım alt sınırı (kapı)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0,15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Yüksek; benim kararım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Boş stok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 bin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225-750 bin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Ölçeği doğrusal belirler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Duran inşaat sayısı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bin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baz; iddia 100 bin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Düşük (küçük kanal)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Kira esnekliği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0,3-1,0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Yalnız yaşam maliyetini etkiler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Kaçınma eğimi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puan / fazla puan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Yalnız %5 üstü lüks bedelde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Lüks tepki (cap 0,65, fs 1,69)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Vancouver ankoru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 gözlem noktası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9. Sınırlar ve açık noktalar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Lüks bedelin gerçek tahsilatı hiçbir yerde ölçülmedi; yalnız pilot ölçer. Sistemin finansmanının ≈%70'i buna dayanır.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Katılım yalnız beklenen reel artış ve tutma maliyetinden türetilir; sahibin başka motifleri (miras, spekülasyon, vergi) modelde yok.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Anadolu'da Kocaeli, Konya, Adana fiyat/kira verisi yer tutucu; boş stok kişi başı İstanbul ile aynı varsayıldı; Gini ulusal dağılımla hesaplandı; pilot tek şehirde değil, şehirlere paylaştırıldı.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Kur krizi ve sermaye çıkışı kurulmuş modeller değil, parametre vekilleridir. Enflasyon şoku ilk yıl oranına yansımaz; 20 yıllık yük hesabında işler.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Senedin fiziki endeksi, ödenmeyen anapara garantisi, banka kanalı ve kira geri ödemesinin üretime yönlendirilmesi tanımsız.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Mekânsal yoğunlaşma (Esenyurt tipi stokta), kura adaleti, şokta geri çekilme kuralı ve hukuki sınav (Anayasa md. 35 ve 73) modellenmedi.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İdari kapasite ve tadilat maliyeti yok: 4. yıldaki yerleştirme hızı (ölçek ×2,5) idari olarak gerçekçi olmayabilir.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10. Yeniden üretme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unittest discover -s tests          # 60 test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hekis.zones | .systems | .pilot | .horizon | .social | .anchor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hekis.export_app &amp;&amp; python app/build.py   # simülatörü yeniden üret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hekis.verify_app &amp;&amp; node app/verify.js    # JS ↔ Python doğrulaması</w:t>
      </w:r>
    </w:p>
    <w:p>
      <w:pPr>
        <w:shd w:fill="EEF3F2" w:color="auto" w:val="clear"/>
        <w:spacing w:after="70" w:line="27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node app/scen_export.js &amp;&amp; node app/infografik.js    # senaryo PDF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Not: main dalındaki enflasyon/döviz/kamu modülleri (enflasyon.py, atalet.py, entegre.py, rezerv.py vb.) ayrı bir çalışma çizgisidir; bu belge ve model onlara bağlı değildir.</w:t>
      </w:r>
    </w:p>
    <w:sectPr>
      <w:footerReference w:type="default" r:id="rId7"/>
      <w:pgSz w:w="11906" w:h="16838" w:orient="portrait"/>
      <w:pgMar w:top="1300" w:right="1453" w:bottom="1300" w:left="14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HEKİS: teknik belge  |  sayfa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2026-10-07T13:10:25.294Z</dcterms:created>
  <dcterms:modified xsi:type="dcterms:W3CDTF">2026-10-07T13:10:25.300Z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